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jc w:val="center"/>
        <w:ind w:left="3920" w:right="1120" w:hanging="2793"/>
        <w:spacing w:after="0" w:line="479" w:lineRule="auto"/>
        <w:tabs>
          <w:tab w:leader="none" w:pos="1328"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37" w:lineRule="exact"/>
        <w:rPr>
          <w:rFonts w:ascii="MS PGothic" w:cs="MS PGothic" w:eastAsia="MS PGothic" w:hAnsi="MS PGothic"/>
          <w:sz w:val="18"/>
          <w:szCs w:val="18"/>
          <w:color w:val="auto"/>
        </w:rPr>
      </w:pPr>
    </w:p>
    <w:p>
      <w:pPr>
        <w:jc w:val="center"/>
        <w:ind w:left="4140" w:right="940" w:hanging="3199"/>
        <w:spacing w:after="0" w:line="500" w:lineRule="auto"/>
        <w:tabs>
          <w:tab w:leader="none" w:pos="114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 to 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w:t>
      </w:r>
      <w:r>
        <w:rPr>
          <w:rFonts w:ascii="Times New Roman" w:cs="Times New Roman" w:eastAsia="Times New Roman" w:hAnsi="Times New Roman"/>
          <w:sz w:val="18"/>
          <w:szCs w:val="18"/>
          <w:b w:val="1"/>
          <w:bCs w:val="1"/>
          <w:color w:val="auto"/>
        </w:rPr>
        <w:t>: 001-32171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156845</wp:posOffset>
            </wp:positionV>
            <wp:extent cx="1842770" cy="454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2770"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Bimini Capital Management, Inc.</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88" w:lineRule="exact"/>
        <w:rPr>
          <w:sz w:val="24"/>
          <w:szCs w:val="24"/>
          <w:color w:val="auto"/>
        </w:rPr>
      </w:pPr>
    </w:p>
    <w:tbl>
      <w:tblPr>
        <w:tblLayout w:type="fixed"/>
        <w:tblInd w:w="2400" w:type="dxa"/>
        <w:tblCellMar>
          <w:top w:w="0" w:type="dxa"/>
          <w:left w:w="0" w:type="dxa"/>
          <w:bottom w:w="0" w:type="dxa"/>
          <w:right w:w="0" w:type="dxa"/>
        </w:tblCellMar>
      </w:tblPr>
      <w:tr>
        <w:trPr>
          <w:trHeight w:val="220"/>
        </w:trPr>
        <w:tc>
          <w:tcPr>
            <w:tcW w:w="348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26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72-1571637</w:t>
            </w:r>
          </w:p>
        </w:tc>
      </w:tr>
      <w:tr>
        <w:trPr>
          <w:trHeight w:val="216"/>
        </w:trPr>
        <w:tc>
          <w:tcPr>
            <w:tcW w:w="34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6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4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3305 Flamingo Drive, Vero Beach, Florida 32963</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(772) 231-1400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A Common Stock, $0.001 par value</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Exchange Act.</w:t>
      </w:r>
    </w:p>
    <w:p>
      <w:pPr>
        <w:sectPr>
          <w:pgSz w:w="11900" w:h="16838" w:orient="portrait"/>
          <w:cols w:equalWidth="0" w:num="1">
            <w:col w:w="11240"/>
          </w:cols>
          <w:pgMar w:left="320" w:top="727" w:right="339" w:bottom="163" w:gutter="0" w:footer="0" w:header="0"/>
        </w:sectPr>
      </w:pP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55" w:lineRule="exact"/>
        <w:rPr>
          <w:sz w:val="24"/>
          <w:szCs w:val="24"/>
          <w:color w:val="auto"/>
        </w:rPr>
      </w:pPr>
    </w:p>
    <w:p>
      <w:pPr>
        <w:sectPr>
          <w:pgSz w:w="11900" w:h="16838" w:orient="portrait"/>
          <w:cols w:equalWidth="0" w:num="5">
            <w:col w:w="1860" w:space="460"/>
            <w:col w:w="1440" w:space="480"/>
            <w:col w:w="1740" w:space="500"/>
            <w:col w:w="2300" w:space="480"/>
            <w:col w:w="1980"/>
          </w:cols>
          <w:pgMar w:left="320" w:top="727" w:right="339" w:bottom="163" w:gutter="0" w:footer="0" w:header="0"/>
          <w:type w:val="continuous"/>
        </w:sect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1">
            <w:col w:w="11240"/>
          </w:cols>
          <w:pgMar w:left="320" w:top="727" w:right="339" w:bottom="163" w:gutter="0" w:footer="0" w:header="0"/>
          <w:type w:val="continuous"/>
        </w:sectPr>
      </w:pPr>
    </w:p>
    <w:p>
      <w:pPr>
        <w:spacing w:after="0" w:line="22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727" w:right="339" w:bottom="163" w:gutter="0" w:footer="0" w:header="0"/>
          <w:type w:val="continuous"/>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the aggregate market value of the voting stock held by non-affiliates of the Registrant as of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Shares held by non-affiliates</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market value held</w:t>
            </w:r>
          </w:p>
        </w:tc>
        <w:tc>
          <w:tcPr>
            <w:tcW w:w="0" w:type="dxa"/>
            <w:vAlign w:val="bottom"/>
          </w:tcPr>
          <w:p>
            <w:pPr>
              <w:spacing w:after="0"/>
              <w:rPr>
                <w:sz w:val="1"/>
                <w:szCs w:val="1"/>
                <w:color w:val="auto"/>
              </w:rPr>
            </w:pPr>
          </w:p>
        </w:tc>
      </w:tr>
      <w:tr>
        <w:trPr>
          <w:trHeight w:val="130"/>
        </w:trPr>
        <w:tc>
          <w:tcPr>
            <w:tcW w:w="63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by non-affiliates</w:t>
            </w:r>
          </w:p>
        </w:tc>
        <w:tc>
          <w:tcPr>
            <w:tcW w:w="0" w:type="dxa"/>
            <w:vAlign w:val="bottom"/>
          </w:tcPr>
          <w:p>
            <w:pPr>
              <w:spacing w:after="0"/>
              <w:rPr>
                <w:sz w:val="1"/>
                <w:szCs w:val="1"/>
                <w:color w:val="auto"/>
              </w:rPr>
            </w:pPr>
          </w:p>
        </w:tc>
      </w:tr>
      <w:tr>
        <w:trPr>
          <w:trHeight w:val="108"/>
        </w:trPr>
        <w:tc>
          <w:tcPr>
            <w:tcW w:w="6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Class A Common Stock, $0.001 par value</w:t>
            </w:r>
          </w:p>
        </w:tc>
        <w:tc>
          <w:tcPr>
            <w:tcW w:w="120" w:type="dxa"/>
            <w:vAlign w:val="bottom"/>
          </w:tcPr>
          <w:p>
            <w:pPr>
              <w:spacing w:after="0"/>
              <w:rPr>
                <w:sz w:val="16"/>
                <w:szCs w:val="16"/>
                <w:color w:val="auto"/>
              </w:rPr>
            </w:pPr>
          </w:p>
        </w:tc>
        <w:tc>
          <w:tcPr>
            <w:tcW w:w="2360" w:type="dxa"/>
            <w:vAlign w:val="bottom"/>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9"/>
              </w:rPr>
              <w:t>5,358,791</w:t>
            </w:r>
          </w:p>
        </w:tc>
        <w:tc>
          <w:tcPr>
            <w:tcW w:w="120" w:type="dxa"/>
            <w:vAlign w:val="bottom"/>
          </w:tcPr>
          <w:p>
            <w:pPr>
              <w:spacing w:after="0"/>
              <w:rPr>
                <w:sz w:val="16"/>
                <w:szCs w:val="16"/>
                <w:color w:val="auto"/>
              </w:rPr>
            </w:pPr>
          </w:p>
        </w:tc>
        <w:tc>
          <w:tcPr>
            <w:tcW w:w="2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$5,198,027(a)</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$0.001 par value</w:t>
            </w:r>
          </w:p>
        </w:tc>
        <w:tc>
          <w:tcPr>
            <w:tcW w:w="2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20,760</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 (b)</w:t>
            </w: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Class C Common Stock, $0.001 par value</w:t>
            </w:r>
          </w:p>
        </w:tc>
        <w:tc>
          <w:tcPr>
            <w:tcW w:w="24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31,938</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$1,500 (b)</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market value was calculated by using the last sale price of the Class A Common Stock as of June 30, 2025.</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the Class B and Class C Common Stock is an estimate based on their initial purchase price.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Latest Practicable Date</w:t>
            </w:r>
          </w:p>
        </w:tc>
        <w:tc>
          <w:tcPr>
            <w:tcW w:w="100" w:type="dxa"/>
            <w:vAlign w:val="bottom"/>
          </w:tcPr>
          <w:p>
            <w:pPr>
              <w:spacing w:after="0"/>
              <w:rPr>
                <w:sz w:val="20"/>
                <w:szCs w:val="20"/>
                <w:color w:val="auto"/>
              </w:rPr>
            </w:pPr>
          </w:p>
        </w:tc>
        <w:tc>
          <w:tcPr>
            <w:tcW w:w="2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Shares Outstanding</w:t>
            </w:r>
          </w:p>
        </w:tc>
      </w:tr>
      <w:tr>
        <w:trPr>
          <w:trHeight w:val="191"/>
        </w:trPr>
        <w:tc>
          <w:tcPr>
            <w:tcW w:w="6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Class A Common Stock, $0.001 par value</w:t>
            </w:r>
          </w:p>
        </w:tc>
        <w:tc>
          <w:tcPr>
            <w:tcW w:w="120" w:type="dxa"/>
            <w:vAlign w:val="bottom"/>
          </w:tcPr>
          <w:p>
            <w:pPr>
              <w:spacing w:after="0"/>
              <w:rPr>
                <w:sz w:val="16"/>
                <w:szCs w:val="16"/>
                <w:color w:val="auto"/>
              </w:rPr>
            </w:pPr>
          </w:p>
        </w:tc>
        <w:tc>
          <w:tcPr>
            <w:tcW w:w="2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March 12, 2026</w:t>
            </w:r>
          </w:p>
        </w:tc>
        <w:tc>
          <w:tcPr>
            <w:tcW w:w="100" w:type="dxa"/>
            <w:vAlign w:val="bottom"/>
          </w:tcPr>
          <w:p>
            <w:pPr>
              <w:spacing w:after="0"/>
              <w:rPr>
                <w:sz w:val="16"/>
                <w:szCs w:val="16"/>
                <w:color w:val="auto"/>
              </w:rPr>
            </w:pPr>
          </w:p>
        </w:tc>
        <w:tc>
          <w:tcPr>
            <w:tcW w:w="236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rPr>
              <w:t>10,005,457</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$0.001 par value</w:t>
            </w: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2026</w:t>
            </w:r>
          </w:p>
        </w:tc>
        <w:tc>
          <w:tcPr>
            <w:tcW w:w="24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31,938</w:t>
            </w: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Class C Common Stock, $0.001 par value</w:t>
            </w: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12, 2026</w:t>
            </w:r>
          </w:p>
        </w:tc>
        <w:tc>
          <w:tcPr>
            <w:tcW w:w="24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31,938</w:t>
            </w:r>
          </w:p>
        </w:tc>
      </w:tr>
    </w:tbl>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Portions of the Registrant’s definitive Proxy Statement for its 2026 Annual Meeting of Stockholders of the Registrant are incorporated by reference into Part III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true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60" w:type="dxa"/>
            <w:vAlign w:val="bottom"/>
            <w:gridSpan w:val="17"/>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8"/>
              </w:rPr>
              <w:t>BIMINI CAPITAL MANAGEMENT, INC.</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1"/>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1"/>
          </w:tcPr>
          <w:p>
            <w:pPr>
              <w:jc w:val="center"/>
              <w:ind w:right="3980"/>
              <w:spacing w:after="0"/>
              <w:rPr>
                <w:sz w:val="20"/>
                <w:szCs w:val="20"/>
                <w:color w:val="auto"/>
              </w:rPr>
            </w:pPr>
            <w:r>
              <w:rPr>
                <w:rFonts w:ascii="Times New Roman" w:cs="Times New Roman" w:eastAsia="Times New Roman" w:hAnsi="Times New Roman"/>
                <w:sz w:val="18"/>
                <w:szCs w:val="18"/>
                <w:color w:val="0000EE"/>
                <w:w w:val="95"/>
              </w:rPr>
              <w:t>PART I</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 Business.</w:t>
            </w:r>
          </w:p>
        </w:tc>
        <w:tc>
          <w:tcPr>
            <w:tcW w:w="4000" w:type="dxa"/>
            <w:vAlign w:val="bottom"/>
            <w:gridSpan w:val="18"/>
          </w:tcPr>
          <w:p>
            <w:pPr>
              <w:spacing w:after="0"/>
              <w:rPr>
                <w:sz w:val="17"/>
                <w:szCs w:val="17"/>
                <w:color w:val="auto"/>
              </w:rPr>
            </w:pPr>
          </w:p>
        </w:tc>
        <w:tc>
          <w:tcPr>
            <w:tcW w:w="540" w:type="dxa"/>
            <w:vAlign w:val="bottom"/>
            <w:tcBorders>
              <w:top w:val="single" w:sz="8" w:color="0000EE"/>
            </w:tcBorders>
            <w:gridSpan w:val="2"/>
          </w:tcPr>
          <w:p>
            <w:pPr>
              <w:spacing w:after="0"/>
              <w:rPr>
                <w:sz w:val="17"/>
                <w:szCs w:val="17"/>
                <w:color w:val="auto"/>
              </w:rPr>
            </w:pPr>
          </w:p>
        </w:tc>
        <w:tc>
          <w:tcPr>
            <w:tcW w:w="4020" w:type="dxa"/>
            <w:vAlign w:val="bottom"/>
            <w:gridSpan w:val="8"/>
          </w:tcPr>
          <w:p>
            <w:pPr>
              <w:spacing w:after="0"/>
              <w:rPr>
                <w:sz w:val="17"/>
                <w:szCs w:val="17"/>
                <w:color w:val="auto"/>
              </w:rPr>
            </w:pPr>
          </w:p>
        </w:tc>
        <w:tc>
          <w:tcPr>
            <w:tcW w:w="13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1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99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ITEM 1A. Risk Factors</w:t>
            </w:r>
            <w:r>
              <w:rPr>
                <w:rFonts w:ascii="Times New Roman" w:cs="Times New Roman" w:eastAsia="Times New Roman" w:hAnsi="Times New Roman"/>
                <w:sz w:val="18"/>
                <w:szCs w:val="18"/>
                <w:color w:val="000000"/>
              </w:rPr>
              <w:t>.</w:t>
            </w:r>
          </w:p>
        </w:tc>
        <w:tc>
          <w:tcPr>
            <w:tcW w:w="13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138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99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ITEM 1B. Unresolved Staff Comments.</w:t>
            </w:r>
          </w:p>
        </w:tc>
        <w:tc>
          <w:tcPr>
            <w:tcW w:w="13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26</w:t>
            </w:r>
          </w:p>
        </w:tc>
      </w:tr>
      <w:tr>
        <w:trPr>
          <w:trHeight w:val="196"/>
        </w:trPr>
        <w:tc>
          <w:tcPr>
            <w:tcW w:w="28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ITEM 1C. Cybersecurity</w:t>
            </w:r>
          </w:p>
        </w:tc>
        <w:tc>
          <w:tcPr>
            <w:tcW w:w="7040" w:type="dxa"/>
            <w:vAlign w:val="bottom"/>
            <w:gridSpan w:val="18"/>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26</w:t>
            </w:r>
          </w:p>
        </w:tc>
      </w:tr>
      <w:tr>
        <w:trPr>
          <w:trHeight w:val="196"/>
        </w:trPr>
        <w:tc>
          <w:tcPr>
            <w:tcW w:w="18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2. Properties.</w:t>
            </w:r>
          </w:p>
        </w:tc>
        <w:tc>
          <w:tcPr>
            <w:tcW w:w="8120" w:type="dxa"/>
            <w:vAlign w:val="bottom"/>
            <w:gridSpan w:val="25"/>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27</w:t>
            </w:r>
          </w:p>
        </w:tc>
      </w:tr>
      <w:tr>
        <w:trPr>
          <w:trHeight w:val="20"/>
        </w:trPr>
        <w:tc>
          <w:tcPr>
            <w:tcW w:w="138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0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Legal Proceedings.</w:t>
            </w:r>
          </w:p>
        </w:tc>
        <w:tc>
          <w:tcPr>
            <w:tcW w:w="7860" w:type="dxa"/>
            <w:vAlign w:val="bottom"/>
            <w:gridSpan w:val="24"/>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27</w:t>
            </w:r>
          </w:p>
        </w:tc>
      </w:tr>
      <w:tr>
        <w:trPr>
          <w:trHeight w:val="196"/>
        </w:trPr>
        <w:tc>
          <w:tcPr>
            <w:tcW w:w="99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13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27</w:t>
            </w:r>
          </w:p>
        </w:tc>
      </w:tr>
      <w:tr>
        <w:trPr>
          <w:trHeight w:val="196"/>
        </w:trPr>
        <w:tc>
          <w:tcPr>
            <w:tcW w:w="1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11"/>
          </w:tcPr>
          <w:p>
            <w:pPr>
              <w:jc w:val="center"/>
              <w:ind w:right="4000"/>
              <w:spacing w:after="0" w:line="196" w:lineRule="exact"/>
              <w:rPr>
                <w:sz w:val="20"/>
                <w:szCs w:val="20"/>
                <w:color w:val="auto"/>
              </w:rPr>
            </w:pPr>
            <w:r>
              <w:rPr>
                <w:rFonts w:ascii="Times New Roman" w:cs="Times New Roman" w:eastAsia="Times New Roman" w:hAnsi="Times New Roman"/>
                <w:sz w:val="18"/>
                <w:szCs w:val="18"/>
                <w:color w:val="0000EE"/>
                <w:w w:val="95"/>
              </w:rPr>
              <w:t>PART II</w:t>
            </w:r>
          </w:p>
        </w:tc>
        <w:tc>
          <w:tcPr>
            <w:tcW w:w="11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20"/>
        </w:trPr>
        <w:tc>
          <w:tcPr>
            <w:tcW w:w="138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196"/>
        </w:trPr>
        <w:tc>
          <w:tcPr>
            <w:tcW w:w="87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5. Market for Registrant's Common Equity, Related Stockholder Matters and Issuer Purchases of Equity Securities.</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28</w:t>
            </w:r>
          </w:p>
        </w:tc>
      </w:tr>
      <w:tr>
        <w:trPr>
          <w:trHeight w:val="196"/>
        </w:trPr>
        <w:tc>
          <w:tcPr>
            <w:tcW w:w="99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ITEM 6. Reserved.</w:t>
            </w:r>
          </w:p>
        </w:tc>
        <w:tc>
          <w:tcPr>
            <w:tcW w:w="13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28</w:t>
            </w:r>
          </w:p>
        </w:tc>
      </w:tr>
      <w:tr>
        <w:trPr>
          <w:trHeight w:val="20"/>
        </w:trPr>
        <w:tc>
          <w:tcPr>
            <w:tcW w:w="1380" w:type="dxa"/>
            <w:vAlign w:val="bottom"/>
            <w:gridSpan w:val="2"/>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71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 Management's Discussion and Analysis of Financial Condition and Results of Operations.</w:t>
            </w:r>
          </w:p>
        </w:tc>
        <w:tc>
          <w:tcPr>
            <w:tcW w:w="2760" w:type="dxa"/>
            <w:vAlign w:val="bottom"/>
            <w:gridSpan w:val="4"/>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29</w:t>
            </w:r>
          </w:p>
        </w:tc>
      </w:tr>
      <w:tr>
        <w:trPr>
          <w:trHeight w:val="196"/>
        </w:trPr>
        <w:tc>
          <w:tcPr>
            <w:tcW w:w="99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13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47</w:t>
            </w:r>
          </w:p>
        </w:tc>
      </w:tr>
      <w:tr>
        <w:trPr>
          <w:trHeight w:val="196"/>
        </w:trPr>
        <w:tc>
          <w:tcPr>
            <w:tcW w:w="52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ITEM 8. Financial Statements and Supplementary Data.</w:t>
            </w:r>
          </w:p>
        </w:tc>
        <w:tc>
          <w:tcPr>
            <w:tcW w:w="4720" w:type="dxa"/>
            <w:vAlign w:val="bottom"/>
            <w:gridSpan w:val="13"/>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r>
      <w:tr>
        <w:trPr>
          <w:trHeight w:val="20"/>
        </w:trPr>
        <w:tc>
          <w:tcPr>
            <w:tcW w:w="216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72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 Changes in and Disagreements with Accountants on Accounting and Financial Disclosure.</w:t>
            </w:r>
          </w:p>
        </w:tc>
        <w:tc>
          <w:tcPr>
            <w:tcW w:w="272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76</w:t>
            </w:r>
          </w:p>
        </w:tc>
      </w:tr>
      <w:tr>
        <w:trPr>
          <w:trHeight w:val="196"/>
        </w:trPr>
        <w:tc>
          <w:tcPr>
            <w:tcW w:w="26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7300" w:type="dxa"/>
            <w:vAlign w:val="bottom"/>
            <w:gridSpan w:val="19"/>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76</w:t>
            </w:r>
          </w:p>
        </w:tc>
      </w:tr>
      <w:tr>
        <w:trPr>
          <w:trHeight w:val="196"/>
        </w:trPr>
        <w:tc>
          <w:tcPr>
            <w:tcW w:w="21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9B. Other Information.</w:t>
            </w:r>
          </w:p>
        </w:tc>
        <w:tc>
          <w:tcPr>
            <w:tcW w:w="7760" w:type="dxa"/>
            <w:vAlign w:val="bottom"/>
            <w:gridSpan w:val="23"/>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77</w:t>
            </w:r>
          </w:p>
        </w:tc>
      </w:tr>
      <w:tr>
        <w:trPr>
          <w:trHeight w:val="196"/>
        </w:trPr>
        <w:tc>
          <w:tcPr>
            <w:tcW w:w="57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9C. Disclosure Regarding Foreign Jurisdictions that Prevent Inspections.</w:t>
            </w:r>
          </w:p>
        </w:tc>
        <w:tc>
          <w:tcPr>
            <w:tcW w:w="4180" w:type="dxa"/>
            <w:vAlign w:val="bottom"/>
            <w:gridSpan w:val="9"/>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77</w:t>
            </w:r>
          </w:p>
        </w:tc>
      </w:tr>
      <w:tr>
        <w:trPr>
          <w:trHeight w:val="196"/>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0000EE"/>
            </w:tcBorders>
            <w:gridSpan w:val="6"/>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6"/>
              </w:rPr>
              <w:t>PART III</w:t>
            </w:r>
          </w:p>
        </w:tc>
        <w:tc>
          <w:tcPr>
            <w:tcW w:w="396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99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13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78</w:t>
            </w:r>
          </w:p>
        </w:tc>
      </w:tr>
      <w:tr>
        <w:trPr>
          <w:trHeight w:val="196"/>
        </w:trPr>
        <w:tc>
          <w:tcPr>
            <w:tcW w:w="49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ITEM 11. Executive Compensation.</w:t>
            </w:r>
          </w:p>
        </w:tc>
        <w:tc>
          <w:tcPr>
            <w:tcW w:w="5020" w:type="dxa"/>
            <w:vAlign w:val="bottom"/>
            <w:gridSpan w:val="14"/>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78</w:t>
            </w:r>
          </w:p>
        </w:tc>
      </w:tr>
      <w:tr>
        <w:trPr>
          <w:trHeight w:val="20"/>
        </w:trPr>
        <w:tc>
          <w:tcPr>
            <w:tcW w:w="23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1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 Stockholder Matters.</w:t>
            </w:r>
          </w:p>
        </w:tc>
        <w:tc>
          <w:tcPr>
            <w:tcW w:w="182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78</w:t>
            </w:r>
          </w:p>
        </w:tc>
      </w:tr>
      <w:tr>
        <w:trPr>
          <w:trHeight w:val="196"/>
        </w:trPr>
        <w:tc>
          <w:tcPr>
            <w:tcW w:w="62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13. Certain Relationships and Related Transactions, and Director Independence.</w:t>
            </w:r>
          </w:p>
        </w:tc>
        <w:tc>
          <w:tcPr>
            <w:tcW w:w="3660" w:type="dxa"/>
            <w:vAlign w:val="bottom"/>
            <w:gridSpan w:val="5"/>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78</w:t>
            </w:r>
          </w:p>
        </w:tc>
      </w:tr>
      <w:tr>
        <w:trPr>
          <w:trHeight w:val="196"/>
        </w:trPr>
        <w:tc>
          <w:tcPr>
            <w:tcW w:w="99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13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78</w:t>
            </w:r>
          </w:p>
        </w:tc>
      </w:tr>
      <w:tr>
        <w:trPr>
          <w:trHeight w:val="196"/>
        </w:trPr>
        <w:tc>
          <w:tcPr>
            <w:tcW w:w="1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20" w:type="dxa"/>
            <w:vAlign w:val="bottom"/>
            <w:gridSpan w:val="13"/>
          </w:tcPr>
          <w:p>
            <w:pPr>
              <w:jc w:val="center"/>
              <w:ind w:right="3860"/>
              <w:spacing w:after="0" w:line="196" w:lineRule="exact"/>
              <w:rPr>
                <w:sz w:val="20"/>
                <w:szCs w:val="20"/>
                <w:color w:val="auto"/>
              </w:rPr>
            </w:pPr>
            <w:r>
              <w:rPr>
                <w:rFonts w:ascii="Times New Roman" w:cs="Times New Roman" w:eastAsia="Times New Roman" w:hAnsi="Times New Roman"/>
                <w:sz w:val="18"/>
                <w:szCs w:val="18"/>
                <w:color w:val="0000EE"/>
                <w:w w:val="94"/>
              </w:rPr>
              <w:t>PART IV</w:t>
            </w:r>
          </w:p>
        </w:tc>
        <w:tc>
          <w:tcPr>
            <w:tcW w:w="11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196"/>
        </w:trPr>
        <w:tc>
          <w:tcPr>
            <w:tcW w:w="5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ITEM 15. Exhibits and Financial Statement Schedules.</w:t>
            </w:r>
          </w:p>
        </w:tc>
        <w:tc>
          <w:tcPr>
            <w:tcW w:w="660" w:type="dxa"/>
            <w:vAlign w:val="bottom"/>
            <w:tcBorders>
              <w:top w:val="single" w:sz="8" w:color="0000EE"/>
            </w:tcBorders>
            <w:gridSpan w:val="6"/>
          </w:tcPr>
          <w:p>
            <w:pPr>
              <w:spacing w:after="0"/>
              <w:rPr>
                <w:sz w:val="17"/>
                <w:szCs w:val="17"/>
                <w:color w:val="auto"/>
              </w:rPr>
            </w:pPr>
          </w:p>
        </w:tc>
        <w:tc>
          <w:tcPr>
            <w:tcW w:w="3960" w:type="dxa"/>
            <w:vAlign w:val="bottom"/>
            <w:gridSpan w:val="6"/>
          </w:tcPr>
          <w:p>
            <w:pPr>
              <w:spacing w:after="0"/>
              <w:rPr>
                <w:sz w:val="17"/>
                <w:szCs w:val="17"/>
                <w:color w:val="auto"/>
              </w:rPr>
            </w:pPr>
          </w:p>
        </w:tc>
        <w:tc>
          <w:tcPr>
            <w:tcW w:w="13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79</w:t>
            </w:r>
          </w:p>
        </w:tc>
      </w:tr>
      <w:tr>
        <w:trPr>
          <w:trHeight w:val="196"/>
        </w:trPr>
        <w:tc>
          <w:tcPr>
            <w:tcW w:w="39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ITEM 16. Form 10-K Summary.</w:t>
            </w:r>
          </w:p>
        </w:tc>
        <w:tc>
          <w:tcPr>
            <w:tcW w:w="5960" w:type="dxa"/>
            <w:vAlign w:val="bottom"/>
            <w:gridSpan w:val="16"/>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81</w:t>
            </w:r>
          </w:p>
        </w:tc>
      </w:tr>
      <w:tr>
        <w:trPr>
          <w:trHeight w:val="595"/>
        </w:trPr>
        <w:tc>
          <w:tcPr>
            <w:tcW w:w="13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make forward-looking statements in this Report that are subject to risks and uncertainties. In some cases, these statements can be identified by the use of forward-looking terminology such as “believe,” “expect,” “anticipate,” “estimate,” “intend,” “should,” “may,” “plans,” “projects,” “will,” or similar expressions, or the negative of these words. These forward-looking statements involve risks and uncertainties because they relate to events, developments, and circumstances relating to our business, industry financial condition, liquidity, results of operations, plans and objectives and/or general economic or other conditions that may or may not occur in the future or may occur on longer or shorter timelines or to a greater or lesser degree than anticipated. Although we believe that we have a reasonable basis for each forward-looking statement contained in this report, forward-looking statements are not guarantees of future performance, and our actual results of operations, financial condition and liquidity, and the development of the industry in which we operate, may differ materially from the forward-looking statements contained in this Report as a result of the following factors, among others:</w:t>
      </w:r>
    </w:p>
    <w:p>
      <w:pPr>
        <w:spacing w:after="0" w:line="19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movements in interest rates;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investment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investments on attractive terms;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prepayment rates on the value of our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future financing arrangements;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hedge the interest rate risk and prepayment risk associated with our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understanding of our competition and our ability to compete effectively;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quantify risk based on historical experience;</w:t>
      </w:r>
    </w:p>
    <w:p>
      <w:pPr>
        <w:spacing w:after="0" w:line="9"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our tax attributes, which are based upon various facts and assumptions, and our ability to protect and use our net operating loss carryforwards ("NOLs") to offset future taxable income, including whether our stockholder rights plan will be effective in preventing an ownership change that would significantly limit our ability to utilize such NOLs;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technology on our operations and business;</w:t>
      </w:r>
    </w:p>
    <w:p>
      <w:pPr>
        <w:spacing w:after="0" w:line="9"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exemption from the obligation to register under the Investment Company Act of 1940, as amended (the “Investment Company Act”);</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trends;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actual, anticipated or proposed actions of the U.S. government, including the U.S. Federal Reserve (the "Fed"), the Federal Housing Finance Agency (the "FHFA"), the Federal Housing Administration (the "FHA"), the Federal Open Market Committee (the "FOMC") and the U.S. Treasury, on interest rates, monetary policy, fiscal policy and the housing and credit markets;</w:t>
      </w:r>
    </w:p>
    <w:p>
      <w:pPr>
        <w:spacing w:after="0" w:line="1"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conservatorship of the Federal National Mortgage Association (“Fannie Mae”) and the Federal Home Loan Mortgage Corporation (“Freddie Mac”) and related efforts, along with any changes in laws and regulations affecting the relationship between Fannie-Mae and Freddie Mac and the U.S. government;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general economic conditions and monetary policy;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changes in tax laws or tax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government responses to such events and the related impact on the economy both nationally and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other risks described from time to time in our filings with the Securities and Exchange Commission (the “SEC”).</w:t>
      </w:r>
    </w:p>
    <w:p>
      <w:pPr>
        <w:spacing w:after="0" w:line="20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forward-looking statements are based on our beliefs, assumptions and expectations of our future performance, taking into account all information currently available to us. You should not place undue reliance on these forward-looking statements. These beliefs, assumptions and expectations can change as a result of many possible events or factors, not all of which are known to us. Some of these factors are described under the caption ‘‘Risk Factors’’ in this Report and any subsequent reports filed with or furnished to the SEC. If a change occurs, our business, financial condition, liquidity and results of operations may vary materially from those expressed in our forward-looking statements. Any forward-looking statement speaks only as of the date on which it is made. New risks and uncertainties arise from time to time, and it is impossible for us to predict those events or how they may affect us. Except as required by law, we are not obligated to, and do not intend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Bimini Capital Management, Inc., a Maryland corporation (“Bimini Capital” and, collectively with its subsidiaries, the “Company,” “we”, “us” or “our”) is a specialty finance company that operates in two business segments: (i) investing in mortgage-backed securities (“MBS”) and Orchid Island Capital, Inc. (“Orchid”) common stock in our own portfolio, (ii) and serving as the external manager of Orchid which also invests in MBS. In both cases, the principal and interest payments of these MBS are guaranteed by Fannie Mae, Freddie Mac or the Government National Mortgage Association (“Ginnie Mae” and, collectively with Fannie Mae and Freddie Mac, “GSEs”) and are backed primarily by single-family residential mortgage loans. We refer to these types of MBS as “Agency MBS.” Our portfolio primarily consists of traditional pass-through ("PT") Agency MBS, such as mortgage PT certificates and collateralized mortgage obligations (“CMOs”) issued by the GSEs; and structured Agency MBS, such as interest only securities (“IOs”), inverse interest only securities (“IIOs”) and principal only securities (“POs”).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operations are classified into two reportable segments: the investment portfolio segment and the asset management segment.</w:t>
      </w:r>
    </w:p>
    <w:p>
      <w:pPr>
        <w:spacing w:after="0" w:line="22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investment portfolio segment includes the investment activities conducted at Bimini Capital’s wholly owned subsidiary, Royal Palm Capital, LLC (“Royal Palm”). The investment portfolio segment receives revenue in the form of interest and dividend income on its investments. References to the general management of the Company’s portfolio of MBS refer to the operations of Royal Palm.</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asset management segment includes the arrangement by which the Company, through Bimini Advisors, LLC, an investment advisor registered with the SEC, serves as the external manager of Orchid. From this arrangement the Company receives management fees and expense reimbursements. Bimini Advisors, LLC is a wholly owned subsidiary of Bimini Advisors Holdings, LLC ("Holdings"), which is a wholly owned subsidiary of Royal Palm. Holdings and Bimini Advisors, LLC are collectively referred to as “Bimini Advisors.”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Orchid</w:t>
      </w:r>
    </w:p>
    <w:p>
      <w:pPr>
        <w:spacing w:after="0" w:line="229"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Orchid is externally managed and advised by Bimini Advisors' MBS investment team pursuant to the terms of a management agreement. As manager, Bimini Advisors is responsible for administering Orchid’s business activities and day-to-day operations. Pursuant to the terms of the management agreement, Bimini Advisors provides Orchid with its management team, including its officers, along with appropriate support personnel. Bimini Advisors is at all times subject to the supervision and oversight of, and is only permitted to perform such functions designated by, Orchid’s board of directors.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Bimini Advisors receives a monthly management fee in the amount of:</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1.5% of the first $250 million of Orchid’s equity, as defined in the management agreement,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1.25% of Orchid’s equity that is greater than $250 million and less than or equal to $500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1.00% of Orchid’s equity that is greater than $500 million.</w:t>
      </w:r>
    </w:p>
    <w:p>
      <w:pPr>
        <w:spacing w:after="0" w:line="20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Orchid is obligated to reimburse Bimini Advisors for any direct expenses incurred on its behalf. In addition, Bimini Advisors allocates to Orchid its pro rata portion of certain overhead costs as set forth in the management agreement. Should Orchid terminate the management agreement without cause, it shall pay to Bimini Advisors a termination fee equal to three times the average annual management fee, as defined in the management agreement, before or on the last day of the automatic renewal term.</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Acquisition of Tom Johnson Investment Management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January 13, 2026, the Company announced that Holdings has entered into an agreement to purchase eighty percent (80%) of the fully diluted equity interests of Tom Johnson Investment Management, LLC (“TJIM”), a privately held registered investment adviser. The transaction is expected to close at the beginning of the second quarter of 2026. As of the announcement date, TJIM had approximately $1.6 billion of assets under management across equity and fixed income markets. TJIM’s management agreements are diverse, covering individual accounts, sub-advisory agreements, and wrap programs. The existing owners of TJIM will retain an ownership interest in TJIM and Bimini intends to retain its current staff and investment management team following the closing of the transaction. The transaction documents include mutual put and call rights that could result in our acquisition of the remaining 20% equity interest retained by the existing owners. The transaction is intended to transition Bimini into a pure asset management firm with a more diverse mix of assets under its respective management teams.</w:t>
      </w:r>
    </w:p>
    <w:p>
      <w:pPr>
        <w:spacing w:after="0" w:line="192"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If the acquisition of TJIM is completed, the composition of the Company’s business will change both from the perspective of how its capital is deployed and how it reports its results for its operating segments. The acquisition of an 80% ownership interest in TJIM will require the deployment of a significant portion of the Company’s capital, including all capital currently deployed into the investment portfolio, with the exception of shares of Orchid. The results of TJIM going forward would represent a significant portion of the Company’s aggregate results. If the acquisition is completed and the Company is able to generate and retain earnings going forward, the Company expects that such funds will be deployed into an Agency MBS investment portfolio, in which case they are expected to be managed more conservatively in terms of the amount of leverage employed when compared to leverage employed by the Company historically. Given the Company’s intention to retain ownership of shares of Orchid if the transaction closes, the Company’s operating segments would consist of the management of Orchid, the controlling stake in the operations of TJIM, and to a lesser extent its investment portfolio, for a total of three reportable segments.</w:t>
      </w:r>
    </w:p>
    <w:p>
      <w:pPr>
        <w:spacing w:after="0" w:line="18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With respect to the Company’s results of operations for 2025 and 2024, the investment portfolio comprised one of the Company’s reportable segments and the Company deployed significant capital to those operations. Accordingly, such operations are described in detail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Investment Strategy</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With respect to our own portfolio, our objective is to generate attractive risk-adjusted total returns over the long term through a combination of capital appreciation and interest income. We intend to achieve this objective by investing in PT Agency MBS and structured Agency MBS. We seek to generate income from (i) the net interest margin on the leveraged PT MBS portfolio and the leveraged portion of the structured Agency MBS portfolio, and (ii) the interest income we generate from the unleveraged portion of the structured Agency MBS portfolio. We also seek to minimize the volatility of both the net asset value of, and income from, the portfolio through asset selection, liquidity and active interest rate risk management.</w:t>
      </w:r>
    </w:p>
    <w:p>
      <w:pPr>
        <w:spacing w:after="0" w:line="18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fund the PT Agency MBS and certain of the structured Agency MBS through repurchase agreements. However, we generally do not employ leverage on the structured Agency MBS that have no principal balance, such as IOs and IIOs, because those securities contain structural leverage. We may pledge a portion of structured assets to increase the cash balance, but we do not intend to invest the cash derived from pledging these assets.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investment strategy consists of the following components:</w:t>
      </w:r>
    </w:p>
    <w:p>
      <w:pPr>
        <w:spacing w:after="0" w:line="225" w:lineRule="exact"/>
        <w:rPr>
          <w:sz w:val="20"/>
          <w:szCs w:val="20"/>
          <w:color w:val="auto"/>
        </w:rPr>
      </w:pPr>
    </w:p>
    <w:p>
      <w:pPr>
        <w:ind w:left="660" w:right="2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PT Agency MBS, including specified pools, CMOs and certain structured Agency MBS on a leveraged basis to increase returns on the capital allocated to this portfolio;</w:t>
      </w:r>
    </w:p>
    <w:p>
      <w:pPr>
        <w:ind w:left="660" w:right="3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certain structured Agency MBS, such as IOs and IIOs, generally on an unleveraged basis in order to (i) increase returns due to the structural leverage contained in such securities, (ii) enhance liquidity due to the fact that these securities will be unencumbered or, when encumbered, the cash from such borrowings may be retained and (iii) diversify portfolio interest rate risk due to the different interest rate sensitivity these securities have compared to PT Agency MBS;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Agency MBS in order to minimize credit risk;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Orchid common stock, and, potentially, other REIT 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investing in assets that will cause us to maintain our exclusion from regulation as an investment company under the Investment Company Act; and</w:t>
      </w:r>
    </w:p>
    <w:p>
      <w:pPr>
        <w:spacing w:after="0" w:line="2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our financing costs in order to protect our net-interest margin during periods of rising short-term interest rates.</w:t>
      </w:r>
    </w:p>
    <w:p>
      <w:pPr>
        <w:spacing w:after="0" w:line="20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management team makes investment decisions based on various factors, including, but not limited to, relative value, expected cash yield, supply and demand, costs of hedging, costs of financing, liquidity requirements, expected future interest rate volatility and the overall shape of the U.S. Treasury and interest rate swap yield curves. We do not attribute any particular quantitative significance to any of these factors, and the weight we give to these factors depends on market conditions and economic trends.</w:t>
      </w:r>
    </w:p>
    <w:p>
      <w:pPr>
        <w:spacing w:after="0" w:line="180"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Over time, we will modify our investment strategy as market conditions change to seek to maximize the returns from our investment portfolio. We believe that this strategy will enable us to provide attractive long-term returns to our stockholders.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target asset categories and principal assets in which we intend to invest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Pass-through Agency MBS</w:t>
      </w:r>
    </w:p>
    <w:p>
      <w:pPr>
        <w:spacing w:after="0" w:line="227"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We invest in PT Agency MBS, which are securities secured by residential real property in which payments of both interest and principal on the securities are generally made monthly. In effect, these securities pass-through the monthly payments made by the individual borrowers on the mortgage loans that underlie the securities, net of fees paid to the loan servicer and the guarantor of the securities. PT certificates can be divided into various categories based on the characteristics of the underlying mortgages, such as the term or whether the interest rate is fixed or variable.</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payment of principal and interest on mortgage PT securities issued by Ginnie Mae, but not the market value, is guaranteed by the full faith and credit of the federal government. Payment of principal and interest on mortgage PT certificates issued by Fannie Mae and Freddie Mac, but not the market value, is guaranteed by the respective agency issuing the security.</w:t>
      </w:r>
    </w:p>
    <w:p>
      <w:pPr>
        <w:spacing w:after="0" w:line="17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 key feature of most mortgage loans is the ability of the borrower to repay principal earlier than scheduled. This is called a prepayment. Prepayments arise primarily due to sale of the underlying property, refinancing, foreclosure or accelerated amortization by the borrower. Prepayments result in a return of principal to PT certificate holders. This may result in a lower or higher rate of return upon reinvestment of principal. This is generally referred to as prepayment uncertainty. If a security purchased at a premium prepays at a higher-than-expected rate, then the value of the premium would be eroded at a faster-than-expected rate. Similarly, if a discount mortgage prepays at a lower-than-expected rate, the amortization towards par would be accumulated at a slower-than-expected rate. The possibility of these undesirable effects is sometimes referred to as “prepayment risk.”</w:t>
      </w:r>
    </w:p>
    <w:p>
      <w:pPr>
        <w:spacing w:after="0" w:line="187" w:lineRule="exact"/>
        <w:rPr>
          <w:sz w:val="20"/>
          <w:szCs w:val="20"/>
          <w:color w:val="auto"/>
        </w:rPr>
      </w:pPr>
    </w:p>
    <w:p>
      <w:pPr>
        <w:jc w:val="both"/>
        <w:ind w:right="40" w:firstLine="324"/>
        <w:spacing w:after="0" w:line="258" w:lineRule="auto"/>
        <w:rPr>
          <w:sz w:val="20"/>
          <w:szCs w:val="20"/>
          <w:color w:val="auto"/>
        </w:rPr>
      </w:pPr>
      <w:r>
        <w:rPr>
          <w:rFonts w:ascii="Times New Roman" w:cs="Times New Roman" w:eastAsia="Times New Roman" w:hAnsi="Times New Roman"/>
          <w:sz w:val="18"/>
          <w:szCs w:val="18"/>
          <w:color w:val="auto"/>
        </w:rPr>
        <w:t>In general, declining interest rates tend to increase prepayments, and rising interest rates tend to slow prepayments. Like other fixed-income securities, when interest rates rise, the value of Agency MBS generally declines. The rate of prepayments on underlying mortgages will affect the price and volatility of Agency MBS and may shorten or extend the effective maturity of the security beyond what was anticipated at the time of purchase. If interest rates rise, our holdings of Agency MBS may experience reduced spreads over our funding costs if the borrowers of the underlying mortgages pay off their mortgages later than anticipated. This is generally referred to as “extension” risk.</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Pass-through Agency MBS loans with characteristics such that prepayment risk is reduced when pooled together are referred to as “specified pools.” Such securities typically trade at a premium to pools without such favorable characteristics and the magnitude of the premium varies with the perceived benefit of the favorable loan characteristic. Such securities are expected to result in higher realized interest income over time. Examples of such favorable loan characteristics would be lower loan balances. The primary reason is the cost to refinance a mortgage loan is to a large extent fixed. Since the benefit of a lower interest rate and the resulting interest savings over time decline as the outstanding loan balance declines, all else equal the decline in the interest rate must be larger as the outstanding loan balance declines in order to justify the cost to refinance the loan. Additional examples would be loans to borrowers with lower credit scores since such borrowers typically cannot qualify for lower loans as readily as borrowers with higher credit scores. The Company typically allocates a high percentage of its pass-through Agency MBS to specified pools.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may also invest in To-Be-Announced Forward Contracts ("TBAs"). A TBA security is a forward contract for the purchase or sale of Agency MBS at a predetermined price, face amount, issuer, coupon and stated maturity on an agreed-upon future date. The specific Agency 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MBS purchased or sold for a forward settlement date are typically priced at a discount to equivalent securities settling in the current month. This difference, or "price drop," is the economic equivalent of interest income on the underlying Agency MBS, less an implied funding cost, over the forward settlement period (referred to as "dollar roll income"). Consequently, forward purchases of Agency MBS and dollar roll transactions represent a form of off-balance sheet financing. These TBAs are accounted for as derivatives and changes in fair value are recognized through the income statement and are not included in interest income.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mortgage loans underlying PT certificates can generally be classified into the following categories:</w:t>
      </w:r>
    </w:p>
    <w:p>
      <w:pPr>
        <w:spacing w:after="0" w:line="221" w:lineRule="exact"/>
        <w:rPr>
          <w:sz w:val="20"/>
          <w:szCs w:val="20"/>
          <w:color w:val="auto"/>
        </w:rPr>
      </w:pPr>
    </w:p>
    <w:p>
      <w:pPr>
        <w:ind w:left="660" w:right="100" w:hanging="328"/>
        <w:spacing w:after="0" w:line="25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Fixed-Rate Mortgages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Fixed-rate mortgages are those where the borrower pays an interest rate that is constant throughout the term of the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Traditionally, most fixed-rate mortgages have an original term of 30 years. However, shorter terms (also referred to as “final maturity dates”) are also common. Because the interest rate on the loan never changes, even when market interest rates change, there can be a divergence between the interest rate on the loan and current market interest rates over time. This in turn can make fixed-rate mortgages price-sensitive to market fluctuations in interest rates. In general, the longer the remaining term on the mortgage loan, the greater the price sensitivity to movements in interest rates and, therefore, the likelihood for greater price variability.</w:t>
      </w:r>
    </w:p>
    <w:p>
      <w:pPr>
        <w:spacing w:after="0" w:line="3" w:lineRule="exact"/>
        <w:rPr>
          <w:rFonts w:ascii="Times New Roman" w:cs="Times New Roman" w:eastAsia="Times New Roman" w:hAnsi="Times New Roman"/>
          <w:sz w:val="18"/>
          <w:szCs w:val="18"/>
          <w:color w:val="auto"/>
        </w:rPr>
      </w:pPr>
    </w:p>
    <w:p>
      <w:pPr>
        <w:ind w:left="660" w:right="120" w:hanging="328"/>
        <w:spacing w:after="0" w:line="271"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ARMs</w:t>
      </w:r>
      <w:r>
        <w:rPr>
          <w:rFonts w:ascii="Times New Roman" w:cs="Times New Roman" w:eastAsia="Times New Roman" w:hAnsi="Times New Roman"/>
          <w:sz w:val="17"/>
          <w:szCs w:val="17"/>
          <w:color w:val="auto"/>
        </w:rPr>
        <w:t>. ARMs are mortgages for which the borrower pays an interest rate that varies over the term of the loan. The interest rate usually resets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based on market interest rates, although the adjustment of such an interest rate may be subject to certain limitations. Traditionally, interest rate resets occur at regular intervals (for example, once per year). We refer to such ARMs as “traditional” ARMs. Because the interest rates on ARMs fluctuate based on market conditions, ARMs tend to have interest rates that do not deviate from current market rates by a large amount. This in turn can mean that ARMs have less price sensitivity to interest rates and, consequently, are less likely to experience significant price volatility.</w:t>
      </w:r>
    </w:p>
    <w:p>
      <w:pPr>
        <w:spacing w:after="0" w:line="169" w:lineRule="exact"/>
        <w:rPr>
          <w:rFonts w:ascii="Times New Roman" w:cs="Times New Roman" w:eastAsia="Times New Roman" w:hAnsi="Times New Roman"/>
          <w:sz w:val="17"/>
          <w:szCs w:val="17"/>
          <w:color w:val="auto"/>
        </w:rPr>
      </w:pPr>
    </w:p>
    <w:p>
      <w:pPr>
        <w:ind w:left="660" w:right="8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Hybrid Adjustable-Rate Mortgages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Hybrid ARMs have a fixed-rate for the first few years of the loan, often three, five, seven or ten years,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thereafter reset periodically like a traditional ARM. Effectively, such mortgages are hybrids, combining the features of a pure fixed-rate mortgage and a traditional ARM. Hybrid ARMs have price sensitivity to interest rates similar to that of a fixed-rate mortgage during the period when the interest rate is fixed and similar to that of an ARM when the interest rate is in its periodic reset stage. However, because many hybrid ARMs are structured with a relatively short initial time span during which the interest rate is fixed, even during that segment of its existence, the price sensitivity may be high.</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Collateralized Mortgage Obligation MBS</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CMOs are a type of MBS the principal and interest of which are paid, in most cases, on a monthly basis. CMOs may be collateralized by whole mortgage loans, but are more typically collateralized by pools of mortgage PT securities issued directly by or under the auspices of the GSEs. CMOs are structured into multiple classes, with each class bearing a different stated maturity. Monthly payments of principal, including prepayments, are first returned to investors holding the shortest maturity class. Investors holding the longer maturity classes receive principal only after the first class has been retired. Generally, fixed-rate MBS are used to collateralize CMOs. However, the CMO tranches need not all have fixed-rate coupons. Some CMO tranches have floating rate coupons that adjust based on market interest rates, subject to some limitations. Such tranches, often called “CMO floaters,” can have relatively low price sensitivity to interest rates.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Structured Agency MBS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also invest in structured Agency MBS, which include CMOs, IOs, IIOs and POs. The payment of principal and interest, to the extent accrued and payable to the security, on structured Agency MBS issued by Ginnie Mae, but not the market value, is guaranteed by the full faith and credit of the federal government. Payment of principal and interest, to the extent accrued and payable to the security, on structured Agency MBS issued by Fannie Mae and Freddie Mac, but not the market value, is guaranteed by the respective agency issuing the security. The types of structured Agency MBS in which we invest are described below.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hanging="328"/>
        <w:spacing w:after="0" w:line="25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IOs</w:t>
      </w:r>
      <w:r>
        <w:rPr>
          <w:rFonts w:ascii="Times New Roman" w:cs="Times New Roman" w:eastAsia="Times New Roman" w:hAnsi="Times New Roman"/>
          <w:sz w:val="18"/>
          <w:szCs w:val="18"/>
          <w:color w:val="auto"/>
        </w:rPr>
        <w:t>. IOs represent the stream of interest payments on a pool of mortgages, either fixed-rate mortgages or hybrid ARMs. Holders of IOs have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claim to any principal payments. The value of IOs depends primarily on two factors, which are prepayments and interest rates. Prepayments on the underlying pool of mortgages reduce the stream of interest payments going forward, hence IOs are highly sensitive to prepayment rates. IOs are also sensitive to changes in interest rates. An increase in interest rates reduces the present value of future interest payments on a pool of mortgages. On the other hand, an increase in interest rates has a tendency to reduce prepayments, which increases the expected absolute amount of future interest payments.</w:t>
      </w:r>
    </w:p>
    <w:p>
      <w:pPr>
        <w:spacing w:after="0" w:line="3"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IIOs</w:t>
      </w:r>
      <w:r>
        <w:rPr>
          <w:rFonts w:ascii="Times New Roman" w:cs="Times New Roman" w:eastAsia="Times New Roman" w:hAnsi="Times New Roman"/>
          <w:sz w:val="18"/>
          <w:szCs w:val="18"/>
          <w:color w:val="auto"/>
        </w:rPr>
        <w:t>. IIOs represent the stream of interest payments on a pool of mortgages that underlie MBS, either fixed-rate mortgages or hybrid ARMs.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IIOs have no claim to any principal payments. The value of IIOs depends primarily on three factors, which are prepayments, coupon interest rate (i.e. “SOFR”), and term interest rates. Prepayments on the underlying pool of mortgages reduce the stream of interest payments, making IIOs highly sensitive to prepayment rates. The coupon on IIOs is derived from both the coupon interest rate on the underlying pool of mortgages and 30-day SOFR. IIOs are typically created in conjunction with a floating rate CMO that has a principal balance and which is entitled to receive all of the principal payments on the underlying pool of mortgages. The coupon on the floating rate CMO is also based on 30-day SOFR. Typically, the coupon on the floating rate CMO and the IIO, when combined, equal the coupon on the pool of underlying mortgages. The coupon on the pool of underlying mortgages typically represents a cap or ceiling on the combined coupons of the floating rate CMO and the IIO. Accordingly, when the value of 30-day SOFR increases, the coupon of the floating rate CMO will increase and the coupon on the IIO will decrease. When the value of 30-day SOFR falls, the opposite is true. Accordingly, the value of IIOs are sensitive to the level of 30-day SOFR and expectations by market participants of future movements in the level of 30-day SOFR. IIOs are also sensitive to changes in interest rates. An increase in interest rates reduces the present value of future interest payments on a pool of mortgages. On the other hand, an increase in interest rates has a tendency to reduce prepayments, which increases the expected absolute amount of future interest payments.</w:t>
      </w:r>
    </w:p>
    <w:p>
      <w:pPr>
        <w:spacing w:after="0" w:line="5" w:lineRule="exact"/>
        <w:rPr>
          <w:rFonts w:ascii="Times New Roman" w:cs="Times New Roman" w:eastAsia="Times New Roman" w:hAnsi="Times New Roman"/>
          <w:sz w:val="18"/>
          <w:szCs w:val="18"/>
          <w:color w:val="auto"/>
        </w:rPr>
      </w:pPr>
    </w:p>
    <w:p>
      <w:pPr>
        <w:jc w:val="both"/>
        <w:ind w:left="660" w:right="20" w:hanging="328"/>
        <w:spacing w:after="0" w:line="265"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POs</w:t>
      </w:r>
      <w:r>
        <w:rPr>
          <w:rFonts w:ascii="Times New Roman" w:cs="Times New Roman" w:eastAsia="Times New Roman" w:hAnsi="Times New Roman"/>
          <w:sz w:val="17"/>
          <w:szCs w:val="17"/>
          <w:color w:val="auto"/>
        </w:rPr>
        <w:t>. POs represent the stream of principal payments on a pool of mortgages. Holders of POs have no claim to any interest payments, although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ultimate amount of principal to be received over time is known, equaling the principal balance of the underlying pool of mortgages. The timing of the receipt of the principal payments is not known. The value of POs depends primarily on two factors, which are prepayments and interest rates.</w:t>
      </w:r>
    </w:p>
    <w:p>
      <w:pPr>
        <w:jc w:val="both"/>
        <w:ind w:left="660"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Prepayments on the underlying pool of mortgages accelerate the stream of principal repayments, making POs highly sensitive to the rate at which the mortgages in the pool are prepaid. POs are also sensitive to changes in interest rates. An increase in interest rates reduces the present value of future principal payments on a pool of mortgages. Further, an increase in interest rates has a tendency to reduce prepayments, which decelerates, or pushes further out in time, the ultimate receipt of the principal payments. The opposite is true when interest rates decline.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Mortgage REIT Common Stock</w:t>
      </w:r>
    </w:p>
    <w:p>
      <w:pPr>
        <w:spacing w:after="0" w:line="22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also maintain an investment in the common stock of Orchid. Because Orchid is a mortgage REIT that invests primarily in assets similar to those in which the Company invests, we consider this investment as a proxy for our overall investment strategy. We do not currently invest in other REIT common stock, but subject to certain limitations we are not prohibited from doing so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Strategy</w:t>
      </w:r>
    </w:p>
    <w:p>
      <w:pPr>
        <w:spacing w:after="0" w:line="22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borrow against our PT Agency MBS and certain of our structured Agency MBS using short-term repurchase agreements. A repurchase agreement (or "repo") transaction acts as a financing arrangement under which we effectively pledge our investment securities as collateral to secure a loan. Our borrowings through repo transactions are generally short-term and have maturities ranging from one day to one year but may have maturities up to five or more years. Our financing rates are typically impacted by the U.S. Federal Funds rate and other short-term benchmark rates and liquidity in the Agency MBS repo and other short-term funding markets. The terms of our master repo agreements generally conform to the terms in the standard master repurchase agreement as published by the Securities Industry and Financial Markets Association ("SIFMA") as to repayment, margin requirements and the segregation of all securities sold under the repurchase transaction. In addition, each lender may require that we include supplemental terms and conditions to the standard master repurchase agreement to address such matters as additional margin maintenance requirements, cross default and other provisions. The specific provisions may differ for each lender and certain terms may not be determined until we engage in individual repo transactions.</w:t>
      </w:r>
    </w:p>
    <w:p>
      <w:pPr>
        <w:spacing w:after="0" w:line="18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may use other sources of leverage, such as secured or unsecured debt or issuances of preferred stock. We do not have a policy limiting the amount of leverage we may incur. However, we generally expect that the ratio of our total liabilities compared to our equity, which we refer to as our leverage ratio, will not exceed 12 to 1 and will generally be less than 10 to 1. Our amount of leverage may vary depending on market conditions and other factors that we deem relevant.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PT Agency MBS portfolio is leveraged generally through repurchase agreement funding. The structured Agency MBS portfolio generally is not leveraged. The leverage ratio is calculated by dividing our total liabilities by total stockholders’ equity at the end of each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invest in Agency MBS and Orchid common stock to mitigate credit risk. Additionally, our and Orchid's Agency MBS are backed by a diversified base of mortgage loans to mitigate geographic, loan originator and other types of concentration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 Management</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believe that the risk of adverse interest rate movements represents the most significant risk to the value of our portfolio. This risk arises because (i) the interest rate indices used to calculate the interest rates on the mortgages underlying our assets may be different from the interest rate indices used to calculate the interest rates on the related borrowings, and (ii) interest rate movements affecting our borrowings may not be reasonably correlated with interest rate movements affecting our assets. We attempt to mitigate our interest rate risk by using the techniques described below:</w:t>
      </w:r>
    </w:p>
    <w:p>
      <w:pPr>
        <w:spacing w:after="0" w:line="17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Agency MBS Backed by ARMs</w:t>
      </w:r>
      <w:r>
        <w:rPr>
          <w:rFonts w:ascii="Times New Roman" w:cs="Times New Roman" w:eastAsia="Times New Roman" w:hAnsi="Times New Roman"/>
          <w:sz w:val="18"/>
          <w:szCs w:val="18"/>
          <w:color w:val="auto"/>
        </w:rPr>
        <w:t>. We seek to minimize the differences between interest rate indices and interest rate adjustment periods of our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MBS backed by ARMs and related borrowings. At the time of funding, we typically align (i) the underlying interest rate index used to calculate interest rates for our Agency MBS backed by ARMs and the related borrowings and (ii) the interest rate adjustment periods for our Agency MBS backed by ARMs and the interest rate adjustment periods for our related borrowings. As our borrowings mature or are renewed, we may adjust the index used to calculate interest expense, the duration of the reset periods and the maturities of our borrowings.</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Agency MBS Backed by Fixed-Rate Mortgages</w:t>
      </w:r>
      <w:r>
        <w:rPr>
          <w:rFonts w:ascii="Times New Roman" w:cs="Times New Roman" w:eastAsia="Times New Roman" w:hAnsi="Times New Roman"/>
          <w:sz w:val="18"/>
          <w:szCs w:val="18"/>
          <w:color w:val="auto"/>
        </w:rPr>
        <w:t>. As interest rates rise, our borrowing costs increase; however, the income on our Agency MBS backed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fixed-rate mortgages remains unchanged. We may seek to limit increases to our borrowing costs through the use of interest rate swap or cap agreements, options, put or call agreements, futures contracts, forward rate agreements or similar financial instruments to economically convert our floating-rate borrowings into fixed-rate borrowings.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Agency MBS Backed by Hybrid ARMs</w:t>
      </w:r>
      <w:r>
        <w:rPr>
          <w:rFonts w:ascii="Times New Roman" w:cs="Times New Roman" w:eastAsia="Times New Roman" w:hAnsi="Times New Roman"/>
          <w:sz w:val="18"/>
          <w:szCs w:val="18"/>
          <w:color w:val="auto"/>
        </w:rPr>
        <w:t>. During the fixed-rate period of our Agency MBS backed by hybrid ARMs, the security is similar to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MBS backed by fixed-rate mortgages. During this period, we may employ the same hedging strategy that we employ for our Agency MBS backed by fixed-rate mortgages. Once our Agency MBS backed by hybrid ARMs convert to floating rate securities, we may employ the same hedging strategy as we employ for our Agency MBS backed by ARMs.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We may enter into derivative instruments to economically hedge against the possibility that rising rates may adversely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cost of our repurchase agreement liabilities. The principal instruments that the Company has used to date are federal funds ("Fed Funds"), SOFR and Treasury Note (“T-Note”) futures contracts and options to enter into interest rate swaps (“interest rate swaptions”) and TBA securities transactions, but we may enter into other derivatives in the future.</w:t>
      </w:r>
    </w:p>
    <w:p>
      <w:pPr>
        <w:spacing w:after="0" w:line="18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 futures contract is a legally binding agreement to buy or sell a financial instrument in a designated future month at a price agreed upon at the initiation of the contract by the buyer and seller. A futures contract differs from an option in that an option gives one of the counterparties a right, but not the obligation, to buy or sell, while a futures contract represents an obligation of both counterparties to buy or sell a financial instrument at a specified price.</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Interest rate swaptions provide us the option to enter into an interest rate swap agreement for a predetermined notional amount, stated term and pay and receive interest rates in the future. We may enter into swaption agreements that provide us the option to enter into a pay fixed rate interest rate swap, or swaption agreements that provide us the option to enter into a receive fixed interest rate swap.</w:t>
      </w:r>
    </w:p>
    <w:p>
      <w:pPr>
        <w:spacing w:after="0" w:line="176"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Additionally, our structured Agency MBS generally exhibit sensitivities to movements in interest rates different than our PT Agency MBS. To the extent they do so, our structured Agency MBS may protect us against declines in the market value of our combined portfolio that result from adverse interest rate movements, although we cannot assure you that this will be the case.</w:t>
      </w:r>
    </w:p>
    <w:p>
      <w:pPr>
        <w:spacing w:after="0" w:line="17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account for TBA securities as derivative instruments. Gains and losses associated with TBA securities transactions are reported in gain (loss) on derivative instruments in the accompanying consolidated statements of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 Risk Management</w:t>
      </w:r>
    </w:p>
    <w:p>
      <w:pPr>
        <w:spacing w:after="0" w:line="22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risk of mortgage prepayments is another significant risk to our portfolio. When prevailing interest rates fall below the coupon rate of a mortgage, mortgage prepayments are likely to increase. Conversely, when prevailing interest rates increase above the coupon rate of a mortgage, mortgage prepayments are likely to decrease.</w:t>
      </w:r>
    </w:p>
    <w:p>
      <w:pPr>
        <w:spacing w:after="0" w:line="17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When prepayment rates increase, we may not be able to reinvest the money received from prepayments at yields comparable to those of the securities prepaid. Additionally, some of our structured Agency MBS, such as IOs and IIOs, may be negatively affected by an increase in prepayment rates because their value is wholly contingent on the underlying mortgage loans having an outstanding principal balance.</w:t>
      </w:r>
    </w:p>
    <w:p>
      <w:pPr>
        <w:spacing w:after="0" w:line="17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A decrease in prepayment rates may also have an adverse effect on our portfolio. For example, if we invest in POs, the purchase price of such securities will be based, in part, on an assumed level of prepayments on the underlying mortgage loan. Because the returns on POs decrease the longer it takes the principal payments on the underlying loans to be paid, a decrease in prepayment rates could decrease our returns on these securities.</w:t>
      </w:r>
    </w:p>
    <w:p>
      <w:pPr>
        <w:spacing w:after="0" w:line="17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Prepayment risk also affects our hedging activities</w:t>
      </w:r>
      <w:r>
        <w:rPr>
          <w:rFonts w:ascii="Times New Roman" w:cs="Times New Roman" w:eastAsia="Times New Roman" w:hAnsi="Times New Roman"/>
          <w:sz w:val="18"/>
          <w:szCs w:val="18"/>
          <w:color w:val="auto"/>
        </w:rPr>
        <w:t>. When an Agency MBS backed by a fixed-rate mortgage or hybrid ARM is acquired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we may cap or fix our borrowing costs for a period close to the anticipated average life of the fixed-rate portion of the related Agency MBS. If prepayment rates are different than our projections, the term of the related hedging instrument may not match the fixed-rate portion of the security, which could cause us to incur losses.</w:t>
      </w:r>
    </w:p>
    <w:p>
      <w:pPr>
        <w:spacing w:after="0" w:line="18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Because our business may be adversely affected if prepayment rates are different than our projections, we seek to invest in specified pools of Agency MBS backed by mortgages with well-documented and predictable prepayment histories. To protect against increases in prepayment rates, we invest in Agency MBS backed by mortgages that we believe are less likely to be prepaid. For example, we invest in Agency MBS backed by mortgages (i) with loan balances low enough such that a borrower would likely have little incentive to refinance, (ii) extended to borrowers with credit histories weak enough to not be eligible to refinance their mortgage loans, (iii) that are newly originated fixed-rate or hybrid ARMs or (iv) that have interest rates low enough such that a borrower would likely have little incentive to refinance. To protect against decreases in prepayment rates, we may also invest in specified pools of Agency MBS backed by mortgages with characteristics opposite to those described above, which would typically be more likely to be refinanced. We may also invest in certain types of structured Agency MBS as a means of mitigating our portfolio-wide prepayment risks. For example, certain tranches of CMOs are less sensitive to increases in prepayment rates, and we may invest in those tranches as a means of hedging against increases in prepayment rates.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Management Strategy</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Because of our use of leverage, we manage liquidity to meet our lenders’ margin calls by maintaining cash balances or unencumbered assets well in excess of anticipated margin calls; and by making margin calls on our lenders when we have an excess of collateral pledged against our borrowings.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attempt to minimize the number of margin calls we receive by:</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deploying capital from our leveraged Agency MBS portfolio to our unleveraged Agency MBS portfolio;</w:t>
      </w:r>
    </w:p>
    <w:p>
      <w:pPr>
        <w:spacing w:after="0" w:line="27"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Agency MBS backed by mortgages that we believe are less likely to be prepaid to decrease the risk of excessive margin calls when monthly prepayments are announced. Prepayments are declared, and the market value of the related security declines, before the receipt of the related cash flows. Prepayment declarations give rise to a temporary collateral deficiency and generally result in margin calls by lenders;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Orchid common stock, and, potentially, other REIT common stock;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our overall amount of leverage.</w:t>
      </w:r>
    </w:p>
    <w:p>
      <w:pPr>
        <w:spacing w:after="0" w:line="20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To the extent we are unable to adequately manage our interest rate exposure and are subjected to substantial margin calls, we may be forced to sell assets at an inopportune time which in turn could impair our liquidity and reduce our borrowing capacity and book value. We did not experience significant margin call activity in 2025.</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Company Act Exemption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operate our business so that we are exempt from registration under the Investment Company Act. We rely on the exemption provided by Section</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3(c)(5)(C) of the Investment Company Act, which applies to companies in the business of purchasing or otherwise acquiring mortgages and other liens on, and interests in, real estate. In order to rely on the exemption provided by Section 3(c)(5)(C), we must maintain at least 55% of our assets in qualifying real estate assets. For the purposes of this test, structured Agency MBS are non-qualifying real estate assets. We monitor our portfolio periodically and prior to each investment to confirm that we continue to qualify for the exemption. To qualify for the exemption, we make investments so that at least 55% of the assets we own consist of qualifying mortgages and other liens on and interests in real estate, which we refer to as qualifying real estate assets, and so that at least 80% of the assets we own consist of real estate-related assets, including our qualifying real estate assets.</w:t>
      </w:r>
    </w:p>
    <w:p>
      <w:pPr>
        <w:spacing w:after="0" w:line="190"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We treat whole-pool PT Agency MBS as qualifying real estate assets based on no-action letters issued by the staff of the SEC. In August 2011, the SEC, through a concept release, requested comments on interpretations of Section 3(c)(5)(C). To the extent that the SEC or its staff publishes new or different guidance with respect to these matters, we may fail to qualify for this exemption. We manage our PT Agency MBS portfolio such that we have sufficient whole-pool PT Agency MBS to ensure we maintain our exemption from registration under the Investment Company Act. At present, we generally do not expect that our investments in structured Agency MBS will constitute qualifying real estate assets, but will constitute real estate-related assets for purposes of the Investment Company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ind w:right="300" w:firstLine="324"/>
        <w:spacing w:after="0" w:line="312" w:lineRule="auto"/>
        <w:rPr>
          <w:sz w:val="20"/>
          <w:szCs w:val="20"/>
          <w:color w:val="auto"/>
        </w:rPr>
      </w:pPr>
      <w:r>
        <w:rPr>
          <w:rFonts w:ascii="Times New Roman" w:cs="Times New Roman" w:eastAsia="Times New Roman" w:hAnsi="Times New Roman"/>
          <w:sz w:val="17"/>
          <w:szCs w:val="17"/>
          <w:color w:val="auto"/>
        </w:rPr>
        <w:t>As of December 31, 2025, we had 10 full-time salaried employees, none of whom are subject to a collective bargaining agreement. We provide a variety of benefit programs including a 401(k) plan and health, dental and other insurance. We believe our relationship with our employees is excellent.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net income depends on our ability to acquire Agency MBS for our portfolio at favorable spreads over our borrowing costs. Our net income also depends on our ability to execute the same investment strategy for the Orchid portfolio, for which we receive management fees and expense reimbursement payments. When we invest in Agency MBS and other investment assets, we compete with a variety of institutional investors, including mortgage REITs, insurance companies, mutual funds, pension funds, investment banking firms, banks and other financial institutions that invest in the same types of assets, the Federal Reserve Bank and other governmental entities or government sponsored entities. Many of these investors have greater financial resources and access to lower costs of capital than we do. The existence of these competitive entities, as well as the possibility of additional entities forming in the future, may increase the competition for the acquisition of mortgage related securities, resulting in higher prices and lower yields on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7"/>
          <w:szCs w:val="17"/>
          <w:color w:val="auto"/>
        </w:rPr>
        <w:t xml:space="preserve">Our investor relations website is </w:t>
      </w:r>
      <w:r>
        <w:rPr>
          <w:rFonts w:ascii="Times New Roman" w:cs="Times New Roman" w:eastAsia="Times New Roman" w:hAnsi="Times New Roman"/>
          <w:sz w:val="17"/>
          <w:szCs w:val="17"/>
          <w:u w:val="single" w:color="auto"/>
          <w:color w:val="auto"/>
        </w:rPr>
        <w:t>https://ir.biminicapital.com</w:t>
      </w:r>
      <w:r>
        <w:rPr>
          <w:rFonts w:ascii="Times New Roman" w:cs="Times New Roman" w:eastAsia="Times New Roman" w:hAnsi="Times New Roman"/>
          <w:sz w:val="17"/>
          <w:szCs w:val="17"/>
          <w:color w:val="auto"/>
        </w:rPr>
        <w:t>. We make available on the website under "Financials/SEC filings," free of charge, our annual report on Form 10-K, our quarterly reports on Form 10-Q, our current reports on Form 8-K and any other reports (including any amendments to such reports) as soon as reasonably practicable after we electronically file or furnish such materials to the SEC. Our corporate governance guidelines, code of business conduct and ethics, board committee charters, and certain other corporate governance policies are also posted on the website. Information on our website, however, is not part of this Report. In addition, all of our filed reports can be obtained at the SEC’s website at http://www.sec.gov.</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all other information contained in this Report, including our annual consolidated financial statements and related notes thereto, and our other reports filed with or furnished to the SEC before making an investment decision regarding our common stock. These disclosures reflect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beliefs and opinions as to factors that could materially and adversely affect the Company and its securities in the future. Our business, financial condition or results of operations could be harmed by any of these risks. Similarly, these risks could cause the market price of our common stock to decline and you might lose all or part of your investment. Our actual results could differ materially from those anticipated by our forward-looking statements as a result of the risk factors below. References to past events are provided by way of example only and are not intended to be a complete listing or a representation as to whether or not such factors have occurred in the past or their likelihood of occurring in the future.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227"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340" w:right="340" w:hanging="332"/>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may negatively affect the value of our investments and increase the cost of our borrowings, which could result in reduced earnings or losses.</w:t>
      </w:r>
    </w:p>
    <w:p>
      <w:pPr>
        <w:ind w:left="340" w:right="200" w:hanging="332"/>
        <w:spacing w:after="0" w:line="265"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interest rates may also cause a decrease in the volume of newly issued, or investor demand for, Agency MBS, which could materially adversely affect our ability to acquire assets that satisfy our investment objectives and our business, financial condition and results of operations.</w:t>
      </w:r>
    </w:p>
    <w:p>
      <w:pPr>
        <w:ind w:left="340" w:right="18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mismatches between our Agency MBS and our borrowings may reduce our net interest margin during periods of changing interest rates, which could materially adversely affect our business, financial condition and results of operations.</w:t>
      </w:r>
    </w:p>
    <w:p>
      <w:pPr>
        <w:ind w:left="340" w:right="2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of the U.S. credit rating, automatic spending cuts, mounting budget deficits or another government shutdown could negatively impact our liquidity, financial condition and earnings.</w:t>
      </w:r>
    </w:p>
    <w:p>
      <w:pPr>
        <w:ind w:left="340" w:right="16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levels of prepayments on the mortgages underlying our Agency MBS might decrease net interest income or result in a net loss, which could materially adversely affect our business, financial condition and results of operations.</w:t>
      </w:r>
    </w:p>
    <w:p>
      <w:pPr>
        <w:ind w:left="340" w:right="50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procure adequate repurchase agreement financing, or to renew or replace existing repurchase agreement financing as it matures, could materially adversely affect our business, financial condition and results of operations.</w:t>
      </w:r>
    </w:p>
    <w:p>
      <w:pPr>
        <w:ind w:left="340" w:right="2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complete our proposed acquisition of Tom Johnson Investment Management, LLC (“TJIM”), and failure to complete the acquisition could negatively affect our business, stock price, and future operations.</w:t>
      </w:r>
    </w:p>
    <w:p>
      <w:pPr>
        <w:ind w:left="340" w:right="1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our proposed acquisition of TJIM, we may not realize the anticipated benefits of the acquisition, and the acquisition may disrupt our current operations or expose us to additional risks.</w:t>
      </w:r>
    </w:p>
    <w:p>
      <w:pPr>
        <w:ind w:left="340" w:right="380" w:hanging="332"/>
        <w:spacing w:after="0" w:line="265"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market developments could cause our lenders to require us to pledge additional assets as collateral. If our assets were insufficient to meet these collateral requirements, we might be compelled to liquidate particular assets at inopportune times and at unfavorable prices, which could materially adversely affect our business, financial condition and results of operations and our ability to pay distributions to our stockholders.</w:t>
      </w:r>
    </w:p>
    <w:p>
      <w:pPr>
        <w:ind w:left="340" w:right="56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against interest rate exposure may not completely insulate us from interest rate risk and could materially adversely affect our business, financial condition and results of operations.</w:t>
      </w: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leverage could materially adversely affect our business, financial condition and results of operations.</w:t>
      </w:r>
    </w:p>
    <w:p>
      <w:pPr>
        <w:spacing w:after="0" w:line="9" w:lineRule="exact"/>
        <w:rPr>
          <w:rFonts w:ascii="Times New Roman" w:cs="Times New Roman" w:eastAsia="Times New Roman" w:hAnsi="Times New Roman"/>
          <w:sz w:val="18"/>
          <w:szCs w:val="18"/>
          <w:color w:val="auto"/>
        </w:rPr>
      </w:pPr>
    </w:p>
    <w:p>
      <w:pPr>
        <w:jc w:val="both"/>
        <w:ind w:left="340" w:right="36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analytical models and other data to analyze potential asset acquisition and disposition opportunities and to manage our portfolio. Such models and other data may be incorrect, misleading or incomplete, which could cause us to purchase assets that do not meet our expectations or to make asset management decisions that are not in line with our strategy.</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Valuations of our assets are based on third-party input, and our own judgement, which can result in fluctuations over time.</w:t>
      </w:r>
    </w:p>
    <w:p>
      <w:pPr>
        <w:spacing w:after="0" w:line="9" w:lineRule="exact"/>
        <w:rPr>
          <w:rFonts w:ascii="Times New Roman" w:cs="Times New Roman" w:eastAsia="Times New Roman" w:hAnsi="Times New Roman"/>
          <w:sz w:val="18"/>
          <w:szCs w:val="18"/>
          <w:color w:val="auto"/>
        </w:rPr>
      </w:pPr>
    </w:p>
    <w:p>
      <w:pPr>
        <w:ind w:left="340" w:right="18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lenders default on their obligations to resell the Agency MBS back to us at the end of the repo transaction term, or if the value of the Agency MBS has declined by the end of the repo transaction term or if we default on our obligations under the repo transaction, we will lose money on these transactions, which, in turn, may materially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issued long-term debt to fund our operations which can increase the volatility of our earnings and stockholders’ equity.</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Clearing facilities or exchanges upon which some of our hedging instruments are traded may increase margin requirements on our hedging instruments in the event of adverse economic developments.</w:t>
      </w:r>
    </w:p>
    <w:p>
      <w:pPr>
        <w:ind w:left="340" w:right="48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individuals to operate our business, and the sudden loss of certain key individuals could adversely impact our business.</w:t>
      </w:r>
    </w:p>
    <w:p>
      <w:pPr>
        <w:ind w:left="340" w:right="140" w:hanging="332"/>
        <w:spacing w:after="0" w:line="26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change our investment strategy, investment guidelines and asset allocation without notice or stockholder consent, which may result in riskier investments.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exemption from regulation under the Investment Company Act would negatively affect the value of shares of our common stock.</w:t>
      </w:r>
    </w:p>
    <w:p>
      <w:pPr>
        <w:spacing w:after="0" w:line="27" w:lineRule="exact"/>
        <w:rPr>
          <w:rFonts w:ascii="Times New Roman" w:cs="Times New Roman" w:eastAsia="Times New Roman" w:hAnsi="Times New Roman"/>
          <w:sz w:val="18"/>
          <w:szCs w:val="18"/>
          <w:color w:val="auto"/>
        </w:rPr>
      </w:pPr>
    </w:p>
    <w:p>
      <w:pPr>
        <w:ind w:left="340" w:right="340" w:hanging="332"/>
        <w:spacing w:after="0" w:line="265"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and maintain an exemption from being regulated as a commodity pool operator could subject us to additional regulation and compliance requirements and may result in fines and other penalties which could materially adversely affect our business and financial condition.</w:t>
      </w:r>
    </w:p>
    <w:p>
      <w:pPr>
        <w:ind w:left="340" w:right="12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ownership limitations and certain other provisions of applicable law and our charter and bylaws may restrict business combination opportunities that would otherwise be favorable to our stockholders.</w:t>
      </w: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non-renewal of our management agreement with Orchid would significantly reduce our revenues in the near term.</w:t>
      </w:r>
    </w:p>
    <w:p>
      <w:pPr>
        <w:spacing w:after="0" w:line="9" w:lineRule="exact"/>
        <w:rPr>
          <w:rFonts w:ascii="Times New Roman" w:cs="Times New Roman" w:eastAsia="Times New Roman" w:hAnsi="Times New Roman"/>
          <w:sz w:val="18"/>
          <w:szCs w:val="18"/>
          <w:color w:val="auto"/>
        </w:rPr>
      </w:pPr>
    </w:p>
    <w:p>
      <w:pPr>
        <w:ind w:left="340" w:right="64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effect that government policies, laws and plans adopted in response to geopolitical events, a global pandemic, or global recessionary economic conditions will have on us.</w:t>
      </w:r>
    </w:p>
    <w:p>
      <w:pPr>
        <w:ind w:left="340" w:hanging="332"/>
        <w:spacing w:after="0" w:line="26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in Orchid or other mortgage REIT common stock may fluctuate in value which may materially adversely affect our business, financial condition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7" w:lineRule="exact"/>
        <w:rPr>
          <w:sz w:val="20"/>
          <w:szCs w:val="20"/>
          <w:color w:val="auto"/>
        </w:rPr>
      </w:pPr>
    </w:p>
    <w:p>
      <w:pPr>
        <w:ind w:left="340" w:right="260"/>
        <w:spacing w:after="0" w:line="284" w:lineRule="auto"/>
        <w:rPr>
          <w:sz w:val="20"/>
          <w:szCs w:val="20"/>
          <w:color w:val="auto"/>
        </w:rPr>
      </w:pPr>
      <w:r>
        <w:rPr>
          <w:rFonts w:ascii="Times New Roman" w:cs="Times New Roman" w:eastAsia="Times New Roman" w:hAnsi="Times New Roman"/>
          <w:sz w:val="18"/>
          <w:szCs w:val="18"/>
          <w:i w:val="1"/>
          <w:iCs w:val="1"/>
          <w:color w:val="auto"/>
        </w:rPr>
        <w:t>Changes in interest rates may negatively affect the value of our investments and increase the cost of our borrowings, which could result in reduced earnings or losses.</w:t>
      </w:r>
    </w:p>
    <w:p>
      <w:pPr>
        <w:spacing w:after="0" w:line="160"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Under normal market conditions, an investment in Agency MBS will decline in value if interest rates increase. In addition, net interest income could decrease if the yield curve is inverted or flat. While one or more of the GSEs guarantee the principal and interest payments related to the Agency MBS we own, this guarantee does not protect us from declines in market value caused by changes in interest rates. Declines in the market value of our investments may ultimately result in losses to us, which may reduce earnings and cash available to fund our operations.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Significant increases in both long-term and short-term interest rates pose a substantial risk associated with our investment in Agency MBS. If long-term rates were to increase significantly, the market value of our Agency MBS would decline, and the duration and weighted average life of the investments would increase. We could realize a loss if the securities were sold. At the same time, an increase in short-term interest rates would increase the amount of interest owed on our repurchase agreements used to finance the purchase of Agency MBS, which would decrease cash. Using this business model, we are particularly susceptible to the effects of an inverted yield curve, where short-term rates are higher than long-term rates. Although rare in a historical context, the U.S. and many countries in Europe have recently experienced inverted yield curves. Given the volatile nature of the U.S. economy and potential future increases in short-term interest rates, there can be no guarantee that the yield curve will not become inverted. If this occurs, it could result in a decline in the value of our Agency MBS, our business, financial position and results of operations.</w:t>
      </w:r>
    </w:p>
    <w:p>
      <w:pPr>
        <w:spacing w:after="0" w:line="19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Decreases in market interest rates may also adversely affect our results of operations and financial conditions. During periods of declining interest rates or prolonged low interest rates, the interest rates we earn on our new assets may be lower. In addition, prepayments on existing mortgages may increase causing yields on our MBS to be lower, to the extent they are carried at a premium.</w:t>
      </w:r>
    </w:p>
    <w:p>
      <w:pPr>
        <w:spacing w:after="0" w:line="174" w:lineRule="exact"/>
        <w:rPr>
          <w:sz w:val="20"/>
          <w:szCs w:val="20"/>
          <w:color w:val="auto"/>
        </w:rPr>
      </w:pPr>
    </w:p>
    <w:p>
      <w:pPr>
        <w:ind w:left="340" w:right="200"/>
        <w:spacing w:after="0" w:line="315" w:lineRule="auto"/>
        <w:rPr>
          <w:sz w:val="20"/>
          <w:szCs w:val="20"/>
          <w:color w:val="auto"/>
        </w:rPr>
      </w:pPr>
      <w:r>
        <w:rPr>
          <w:rFonts w:ascii="Times New Roman" w:cs="Times New Roman" w:eastAsia="Times New Roman" w:hAnsi="Times New Roman"/>
          <w:sz w:val="17"/>
          <w:szCs w:val="17"/>
          <w:i w:val="1"/>
          <w:iCs w:val="1"/>
          <w:color w:val="auto"/>
        </w:rPr>
        <w:t>An increase in interest rates may also cause a decrease in the volume of newly issued, or investor demand for, Agency MBS, which could materially adversely affect our ability to acquire assets that satisfy our investment objectives and our business, financial condition and results of operations.</w:t>
      </w:r>
    </w:p>
    <w:p>
      <w:pPr>
        <w:spacing w:after="0" w:line="13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Rising interest rates or high rates generally reduce the demand for consumer credit, including mortgage loans, due to the higher cost of borrowing. A reduction in the volume of mortgage loans may affect the volume of Agency MBS available to us, which could affect our ability to acquire assets that satisfy our investment objectives. Rising interest rates may also cause Agency MBS that were issued prior to an interest rate increase to provide yields that exceed prevailing market interest rates. If rising interest rates cause us to be unable to acquire a sufficient volume of Agency MBS or Agency MBS with a yield that exceeds our borrowing costs, our ability to satisfy our investment objectives and to generate income, as well as our business, financial condition and results of operations could be materially and adversely affected.</w:t>
      </w:r>
    </w:p>
    <w:p>
      <w:pPr>
        <w:spacing w:after="0" w:line="185" w:lineRule="exact"/>
        <w:rPr>
          <w:sz w:val="20"/>
          <w:szCs w:val="20"/>
          <w:color w:val="auto"/>
        </w:rPr>
      </w:pPr>
    </w:p>
    <w:p>
      <w:pPr>
        <w:ind w:left="340" w:right="80"/>
        <w:spacing w:after="0" w:line="284" w:lineRule="auto"/>
        <w:rPr>
          <w:sz w:val="20"/>
          <w:szCs w:val="20"/>
          <w:color w:val="auto"/>
        </w:rPr>
      </w:pPr>
      <w:r>
        <w:rPr>
          <w:rFonts w:ascii="Times New Roman" w:cs="Times New Roman" w:eastAsia="Times New Roman" w:hAnsi="Times New Roman"/>
          <w:sz w:val="18"/>
          <w:szCs w:val="18"/>
          <w:i w:val="1"/>
          <w:iCs w:val="1"/>
          <w:color w:val="auto"/>
        </w:rPr>
        <w:t>Interest rate mismatches between our Agency MBS and our borrowings may reduce our net interest margin during periods of changing interest rates, which could materially adversely affect our business, financial condition and results of operations.</w:t>
      </w:r>
    </w:p>
    <w:p>
      <w:pPr>
        <w:spacing w:after="0" w:line="160"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portfolio includes or may include Agency MBS backed by ARMs, hybrid ARMs and fixed-rate mortgages, and the mix of these securities in the portfolio may be increased or decreased over time. Additionally, the interest rates on ARMs and hybrid ARMs may vary over time based on changes in a short-term interest rate index, of which there are many.</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20" w:right="240" w:firstLine="324"/>
        <w:spacing w:after="0" w:line="289" w:lineRule="auto"/>
        <w:rPr>
          <w:sz w:val="20"/>
          <w:szCs w:val="20"/>
          <w:color w:val="auto"/>
        </w:rPr>
      </w:pPr>
      <w:r>
        <w:rPr>
          <w:rFonts w:ascii="Times New Roman" w:cs="Times New Roman" w:eastAsia="Times New Roman" w:hAnsi="Times New Roman"/>
          <w:sz w:val="17"/>
          <w:szCs w:val="17"/>
          <w:color w:val="auto"/>
        </w:rPr>
        <w:t>We finance our acquisitions of PT Agency MBS with short-term financing. During periods of rising short-term interest rates, the income we earn on these securities will not change (with respect to Agency MBS backed by fixed-rate mortgage loans) or will not increase at the same rate (with respect to Agency MBS backed by ARMs and hybrid ARMs) as our related financing costs, which may reduce our net interest margin or result in losses.</w:t>
      </w:r>
    </w:p>
    <w:p>
      <w:pPr>
        <w:spacing w:after="0" w:line="156" w:lineRule="exact"/>
        <w:rPr>
          <w:sz w:val="20"/>
          <w:szCs w:val="20"/>
          <w:color w:val="auto"/>
        </w:rPr>
      </w:pPr>
    </w:p>
    <w:p>
      <w:pPr>
        <w:ind w:left="20"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Downgrades of the U.S. credit rating, automatic spending cuts, mounting budget deficits or another government shutdown could negatively impact our liquidity, financial condition and earnings.</w:t>
      </w:r>
    </w:p>
    <w:p>
      <w:pPr>
        <w:spacing w:after="0" w:line="160" w:lineRule="exact"/>
        <w:rPr>
          <w:sz w:val="20"/>
          <w:szCs w:val="20"/>
          <w:color w:val="auto"/>
        </w:rPr>
      </w:pPr>
    </w:p>
    <w:p>
      <w:pPr>
        <w:ind w:left="20" w:firstLine="324"/>
        <w:spacing w:after="0" w:line="255" w:lineRule="auto"/>
        <w:rPr>
          <w:sz w:val="20"/>
          <w:szCs w:val="20"/>
          <w:color w:val="auto"/>
        </w:rPr>
      </w:pPr>
      <w:r>
        <w:rPr>
          <w:rFonts w:ascii="Times New Roman" w:cs="Times New Roman" w:eastAsia="Times New Roman" w:hAnsi="Times New Roman"/>
          <w:sz w:val="18"/>
          <w:szCs w:val="18"/>
          <w:color w:val="auto"/>
        </w:rPr>
        <w:t>U.S. debt ceiling and budget deficit concerns have increased the possibility of credit-rating downgrades and economic slowdowns, or a recession in the United States. Although U.S. lawmakers passed legislation to raise the federal debt ceiling on multiple occasions, ratings agencies have in recent years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In addition, disagreement over the federal budget has caused the U.S. federal government to shut down for periods of time, and future disagreements may cause future shutdowns. Continued adverse political and economic conditions could have a material adverse effect on our business, financial condition and results of operations.</w:t>
      </w:r>
    </w:p>
    <w:p>
      <w:pPr>
        <w:spacing w:after="0" w:line="187" w:lineRule="exact"/>
        <w:rPr>
          <w:sz w:val="20"/>
          <w:szCs w:val="20"/>
          <w:color w:val="auto"/>
        </w:rPr>
      </w:pPr>
    </w:p>
    <w:p>
      <w:pPr>
        <w:ind w:left="360" w:right="800"/>
        <w:spacing w:after="0" w:line="284" w:lineRule="auto"/>
        <w:rPr>
          <w:sz w:val="20"/>
          <w:szCs w:val="20"/>
          <w:color w:val="auto"/>
        </w:rPr>
      </w:pPr>
      <w:r>
        <w:rPr>
          <w:rFonts w:ascii="Times New Roman" w:cs="Times New Roman" w:eastAsia="Times New Roman" w:hAnsi="Times New Roman"/>
          <w:sz w:val="18"/>
          <w:szCs w:val="18"/>
          <w:i w:val="1"/>
          <w:iCs w:val="1"/>
          <w:color w:val="auto"/>
        </w:rPr>
        <w:t>Differences in the stated maturity of our fixed rate assets, or in the timing of interest rate adjustments on our adjustable-rate assets, and our borrowings may adversely affect our profitability.</w:t>
      </w:r>
    </w:p>
    <w:p>
      <w:pPr>
        <w:spacing w:after="0" w:line="160" w:lineRule="exact"/>
        <w:rPr>
          <w:sz w:val="20"/>
          <w:szCs w:val="20"/>
          <w:color w:val="auto"/>
        </w:rPr>
      </w:pPr>
    </w:p>
    <w:p>
      <w:pPr>
        <w:ind w:left="20" w:right="260" w:firstLine="324"/>
        <w:spacing w:after="0" w:line="266" w:lineRule="auto"/>
        <w:rPr>
          <w:sz w:val="20"/>
          <w:szCs w:val="20"/>
          <w:color w:val="auto"/>
        </w:rPr>
      </w:pPr>
      <w:r>
        <w:rPr>
          <w:rFonts w:ascii="Times New Roman" w:cs="Times New Roman" w:eastAsia="Times New Roman" w:hAnsi="Times New Roman"/>
          <w:sz w:val="18"/>
          <w:szCs w:val="18"/>
          <w:color w:val="auto"/>
        </w:rPr>
        <w:t>We rely primarily on short-term and/or variable rate borrowings to acquire fixed-rate securities with long-term maturities. In addition, we may have adjustable rate assets with interest rates that vary over time based upon changes in an objective index, such as SOFR, or the U.S. Treasury rate. These indices generally reflect short-term interest rates but these assets may not reset in a manner that matches our borrowings.</w:t>
      </w:r>
    </w:p>
    <w:p>
      <w:pPr>
        <w:spacing w:after="0" w:line="176" w:lineRule="exact"/>
        <w:rPr>
          <w:sz w:val="20"/>
          <w:szCs w:val="20"/>
          <w:color w:val="auto"/>
        </w:rPr>
      </w:pPr>
    </w:p>
    <w:p>
      <w:pPr>
        <w:ind w:left="20" w:right="60" w:firstLine="324"/>
        <w:spacing w:after="0" w:line="254" w:lineRule="auto"/>
        <w:rPr>
          <w:sz w:val="20"/>
          <w:szCs w:val="20"/>
          <w:color w:val="auto"/>
        </w:rPr>
      </w:pPr>
      <w:r>
        <w:rPr>
          <w:rFonts w:ascii="Times New Roman" w:cs="Times New Roman" w:eastAsia="Times New Roman" w:hAnsi="Times New Roman"/>
          <w:sz w:val="18"/>
          <w:szCs w:val="18"/>
          <w:color w:val="auto"/>
        </w:rPr>
        <w:t>The relationship between short-term and longer-term interest rates is often referred to as the "yield curve." Ordinarily, short-term interest rates are lower than longer-term interest rates. If short-term interest rates rise disproportionately relative to longer-term interest rates (a "flattening" of the yield curve), our borrowing costs may increase more rapidly than the interest income earned on our assets. Because our investments generally bear interest at longer-term rates than we pay on our borrowings, a flattening of the yield curve would tend to decrease our net interest income and the market value of our investment portfolio. Additionally, to the extent cash flows from investments that return scheduled and unscheduled principal are reinvested, the spread between the yields on the new investments and available borrowing rates may decline, which would likely decrease our net income. It is also possible that short-term interest rates may exceed longer-term interest rates (a yield curve "inversion"), in which event, our borrowing costs may exceed our interest income and result in operating losses.</w:t>
      </w:r>
    </w:p>
    <w:p>
      <w:pPr>
        <w:spacing w:after="0" w:line="190" w:lineRule="exact"/>
        <w:rPr>
          <w:sz w:val="20"/>
          <w:szCs w:val="20"/>
          <w:color w:val="auto"/>
        </w:rPr>
      </w:pPr>
    </w:p>
    <w:p>
      <w:pPr>
        <w:ind w:left="20"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Short-term interest rates may become higher than long-term interest rates, which is typically referred to as an inverted treasury or yield curve. An inverted yield curve occurred during 2022 through the majority of 2024, and may occur again in the future. Under such conditions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funding costs may equal or exceed yields available on the Company assets, adversely impacting our financial condition and results of operations and our ability to pay distributions to our stockholders.</w:t>
      </w:r>
    </w:p>
    <w:p>
      <w:pPr>
        <w:spacing w:after="0" w:line="18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the Federal Reserve began to increase over-night funding rates during 2022, short-term interest rates began to rise faster than longer-term interest rates and eventually the treasury yield curve became inverted, whereby yields on short-terms rates exceeded yields on long-term interest rates. This condition continued through 2023 and the majority of 2024, and may occur again in the future. Consistent with this development, funding costs associated with the Company’s borrowings increased during these periods relative to yields on the Company’s MBS securities. As a result, the Company’s net interest income declined during these periods. The Company employed various hedging strategies to offset the inverted yield curve. However, such hedges may not be adequate to protect the Company’s net interest income if the yield curve inverts again in the future. If the yield curve inverts again in the future, the financial conditions, results of operations and the Company could be materially adversely affected.</w:t>
      </w:r>
    </w:p>
    <w:p>
      <w:pPr>
        <w:spacing w:after="0" w:line="187" w:lineRule="exact"/>
        <w:rPr>
          <w:sz w:val="20"/>
          <w:szCs w:val="20"/>
          <w:color w:val="auto"/>
        </w:rPr>
      </w:pPr>
    </w:p>
    <w:p>
      <w:pPr>
        <w:ind w:left="20" w:right="1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Increased levels of prepayments on the mortgages underlying our Agency MBS might decrease net interest income or result in a net loss, which could materially adversely affect our business, financial condition and results of operations.</w:t>
      </w:r>
    </w:p>
    <w:p>
      <w:pPr>
        <w:spacing w:after="0" w:line="160" w:lineRule="exact"/>
        <w:rPr>
          <w:sz w:val="20"/>
          <w:szCs w:val="20"/>
          <w:color w:val="auto"/>
        </w:rPr>
      </w:pPr>
    </w:p>
    <w:p>
      <w:pPr>
        <w:ind w:left="20" w:right="140" w:firstLine="324"/>
        <w:spacing w:after="0" w:line="256" w:lineRule="auto"/>
        <w:rPr>
          <w:sz w:val="20"/>
          <w:szCs w:val="20"/>
          <w:color w:val="auto"/>
        </w:rPr>
      </w:pPr>
      <w:r>
        <w:rPr>
          <w:rFonts w:ascii="Times New Roman" w:cs="Times New Roman" w:eastAsia="Times New Roman" w:hAnsi="Times New Roman"/>
          <w:sz w:val="18"/>
          <w:szCs w:val="18"/>
          <w:color w:val="auto"/>
        </w:rPr>
        <w:t>In the case of residential mortgages, there are seldom any restrictions on borrowers’ ability to prepay their loans. Prepayment rates generally increase when interest rates fall and decrease when interest rates rise. Prepayment rates also may be affected by other factors, including, without limitation, conditions in the housing and financial markets, governmental action, general economic conditions and the relative interest rates on ARMs, hybrid ARMs and fixed-rate mortgage loans. To the extent that our PT Agency MBS are carried at a premium to par, faster-than-expected prepayments could also materially adversely affect our business, financial condition and results of operations in various ways, including, if we are unable to quickly acquire new Agency MBS that generate comparable returns to replace the prepaid Agency MBS.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When we acquire structured Agency MBS, we anticipate that the underlying mortgages will prepay at a projected rate, generating an expected yield. When the prepayment rates on the mortgages underlying our structured Agency MBS are higher than expected, our returns on those securities may be materially adversely affected. For example, the value of our IOs and IIOs are extremely sensitive to prepayments because holders of these securities do not have the right to receive any principal payments on the underlying mortgages. Therefore, if the mortgage loans underlying our IOs and IIOs are prepaid, such securities would cease to have any value, which, in turn, could materially adversely affect our business, financial condition and results of operations.</w:t>
      </w:r>
    </w:p>
    <w:p>
      <w:pPr>
        <w:spacing w:after="0" w:line="16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While we seek to minimize prepayment risk, we must balance prepayment risk against other risks and the potential returns of each investment. No strategy can completely insulate us from prepayment or other such risks.</w:t>
      </w:r>
    </w:p>
    <w:p>
      <w:pPr>
        <w:spacing w:after="0" w:line="160" w:lineRule="exact"/>
        <w:rPr>
          <w:sz w:val="20"/>
          <w:szCs w:val="20"/>
          <w:color w:val="auto"/>
        </w:rPr>
      </w:pPr>
    </w:p>
    <w:p>
      <w:pPr>
        <w:ind w:left="340" w:right="160"/>
        <w:spacing w:after="0" w:line="284" w:lineRule="auto"/>
        <w:rPr>
          <w:sz w:val="20"/>
          <w:szCs w:val="20"/>
          <w:color w:val="auto"/>
        </w:rPr>
      </w:pPr>
      <w:r>
        <w:rPr>
          <w:rFonts w:ascii="Times New Roman" w:cs="Times New Roman" w:eastAsia="Times New Roman" w:hAnsi="Times New Roman"/>
          <w:sz w:val="18"/>
          <w:szCs w:val="18"/>
          <w:i w:val="1"/>
          <w:iCs w:val="1"/>
          <w:color w:val="auto"/>
        </w:rPr>
        <w:t>A decrease in prepayment rates on the mortgages underlying our Agency MBS might decrease net interest income or result in a net loss, which could materially adversely affect our business, financial condition and results of operations.</w:t>
      </w:r>
    </w:p>
    <w:p>
      <w:pPr>
        <w:spacing w:after="0" w:line="16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Certain of our structured Agency MBS may be adversely affected by a decrease in prepayment rates. For example, because POs are similar to zero-coupon bonds, our expected returns on such securities will be contingent on our receiving the principal payments of the underlying mortgage loans at expected intervals that assume a certain prepayment rate. If prepayment rates are lower than expected, we will not receive principal payments as quickly as we anticipated and, therefore, our expected returns on these securities will be adversely affected, which, in turn, could materially adversely affect our business, financial condition and results of operations.</w:t>
      </w:r>
    </w:p>
    <w:p>
      <w:pPr>
        <w:spacing w:after="0" w:line="183"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While we seek to minimize prepayment risk, we must balance prepayment risk against other risks and the potential returns of each investment. No strategy can completely insulate us from prepayment or other such risks.</w:t>
      </w:r>
    </w:p>
    <w:p>
      <w:pPr>
        <w:spacing w:after="0" w:line="160" w:lineRule="exact"/>
        <w:rPr>
          <w:sz w:val="20"/>
          <w:szCs w:val="20"/>
          <w:color w:val="auto"/>
        </w:rPr>
      </w:pPr>
    </w:p>
    <w:p>
      <w:pPr>
        <w:ind w:left="340" w:right="100"/>
        <w:spacing w:after="0" w:line="284" w:lineRule="auto"/>
        <w:rPr>
          <w:sz w:val="20"/>
          <w:szCs w:val="20"/>
          <w:color w:val="auto"/>
        </w:rPr>
      </w:pPr>
      <w:r>
        <w:rPr>
          <w:rFonts w:ascii="Times New Roman" w:cs="Times New Roman" w:eastAsia="Times New Roman" w:hAnsi="Times New Roman"/>
          <w:sz w:val="18"/>
          <w:szCs w:val="18"/>
          <w:i w:val="1"/>
          <w:iCs w:val="1"/>
          <w:color w:val="auto"/>
        </w:rPr>
        <w:t>Interest rate caps on the ARMs and hybrid ARMs backing our Agency MBS may reduce our net interest margin during periods of rising interest rates, which could materially adversely affect our business, financial condition and results of operations.</w:t>
      </w:r>
    </w:p>
    <w:p>
      <w:pPr>
        <w:spacing w:after="0" w:line="160"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ARMs and hybrid ARMs are typically subject to periodic and lifetime interest rate caps. Periodic interest rate caps limit the amount an interest rate can increase during any given period. Lifetime interest rate caps limit the amount an interest rate can increase through the maturity of the loan. Our borrowings typically are not subject to similar restrictions. Accordingly, in a period of rapidly increasing interest rates, our financing costs could increase without limitation while caps could limit the interest we earn on the ARMs and hybrid ARMs backing our Agency MBS. This problem is magnified for ARMs and hybrid ARMs that are not fully indexed because such periodic interest rate caps prevent the coupon on the security from fully reaching the specified rate in one reset. Further, some ARMs and hybrid ARMs may be subject to periodic payment caps that result in a portion of the interest being deferred and added to the principal outstanding. As a result, we may receive less cash income on Agency MBS backed by ARMs and hybrid ARMs than necessary to pay interest on our related borrowings. Interest rate caps on Agency MBS backed by ARMs and hybrid ARMs could reduce our net interest margin if interest rates were to increase beyond the level of the caps, which could materially adversely affect our business, financial condition and results of operations.</w:t>
      </w:r>
    </w:p>
    <w:p>
      <w:pPr>
        <w:spacing w:after="0" w:line="171" w:lineRule="exact"/>
        <w:rPr>
          <w:sz w:val="20"/>
          <w:szCs w:val="20"/>
          <w:color w:val="auto"/>
        </w:rPr>
      </w:pPr>
    </w:p>
    <w:p>
      <w:pPr>
        <w:ind w:left="340" w:right="360"/>
        <w:spacing w:after="0" w:line="284" w:lineRule="auto"/>
        <w:rPr>
          <w:sz w:val="20"/>
          <w:szCs w:val="20"/>
          <w:color w:val="auto"/>
        </w:rPr>
      </w:pPr>
      <w:r>
        <w:rPr>
          <w:rFonts w:ascii="Times New Roman" w:cs="Times New Roman" w:eastAsia="Times New Roman" w:hAnsi="Times New Roman"/>
          <w:sz w:val="18"/>
          <w:szCs w:val="18"/>
          <w:i w:val="1"/>
          <w:iCs w:val="1"/>
          <w:color w:val="auto"/>
        </w:rPr>
        <w:t>Failure to procure adequate repurchase agreement financing, or to renew or replace existing repurchase agreement financing as it matures, could materially adversely affect our business, financial condition and results of operations.</w:t>
      </w:r>
    </w:p>
    <w:p>
      <w:pPr>
        <w:spacing w:after="0" w:line="16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intend to maintain master repurchase agreements with several counterparties. We cannot assure you that any, or sufficient, repurchase agreement financing will be available to us in the future on terms that are acceptable to us. Any decline in the value of Agency MBS, or perceived market uncertainty about their value, would make it more difficult for us to obtain financing on favorable terms or at all, or maintain our compliance with the terms of any financing arrangements already in place. We may be unable to diversify the credit risk associated with our lenders. In the event that we cannot obtain sufficient funding on acceptable terms, our business, financial condition and results of operations may be adversely affected.</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Furthermore, because we intend to rely primarily on short-term borrowings to fund our acquisition of Agency MBS, our ability to achieve our investment objectives will depend not only on our ability to borrow money in sufficient amounts and on favorable terms, but also on our ability to renew or replace on a continuous basis our maturing short-term borrowings. If we are not able to renew or replace maturing borrowings, we will have to sell some or all of our assets, possibly under adverse market conditions. In addition, if the regulatory capital requirements imposed on our lenders change, they may be required to significantly increase the cost of the financing that they provide to us. Our lenders also may revise their eligibility requirements for the types of assets they are willing to finance or the terms of such financings, based on, among other factors, the regulatory environment and their management of perceived risk.</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20" w:right="200"/>
        <w:spacing w:after="0" w:line="284" w:lineRule="auto"/>
        <w:rPr>
          <w:sz w:val="20"/>
          <w:szCs w:val="20"/>
          <w:color w:val="auto"/>
        </w:rPr>
      </w:pPr>
      <w:r>
        <w:rPr>
          <w:rFonts w:ascii="Times New Roman" w:cs="Times New Roman" w:eastAsia="Times New Roman" w:hAnsi="Times New Roman"/>
          <w:sz w:val="18"/>
          <w:szCs w:val="18"/>
          <w:i w:val="1"/>
          <w:iCs w:val="1"/>
          <w:color w:val="auto"/>
        </w:rPr>
        <w:t>We may not complete our proposed acquisition of TJIM, and failure to complete the acquisition could negatively affect our business, stock price, and future operations.</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13, 2026, we announced that a subsidiary of Bimini Capital entered into an agreement to acquire 80% of the fully diluted equity interests of Tom Johnson Investment Management, LLC, a privately held registered investment adviser (the “TJIM Acquisition”). The TJIM Acquisition is expected to close at the beginning of the second quarter of 2026. However, there can be no assurance that it will be completed on the anticipated timeline, or at all.</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Completion of the TJIM Acquisition is conditioned on the principal seller entering into a new three-year employment agreement with TJIM and is also subject to customary conditions, including the receipt of all necessary regulatory, contractual and other consents, including from TJIM’s existing clients. Many of these conditions are not within our control, and we cannot predict whether or when these conditions will be satisfied.</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If for any reason the TJIM Acquisition is not completed on the anticipated timeline, or at all, our business, results of operations, and stock price could be adversely affected in a number of ways, including the following:</w:t>
      </w:r>
    </w:p>
    <w:p>
      <w:pPr>
        <w:spacing w:after="0" w:line="162" w:lineRule="exact"/>
        <w:rPr>
          <w:sz w:val="20"/>
          <w:szCs w:val="20"/>
          <w:color w:val="auto"/>
        </w:rPr>
      </w:pPr>
    </w:p>
    <w:p>
      <w:pPr>
        <w:ind w:left="300" w:right="100" w:hanging="184"/>
        <w:spacing w:after="0" w:line="261" w:lineRule="auto"/>
        <w:tabs>
          <w:tab w:leader="none" w:pos="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incurred significant transaction costs, including legal, accounting, financial advisory, and other fees and expenses, in connection with the proposed acquisition, which must be paid regardless of whether the transaction is completed.</w:t>
      </w:r>
    </w:p>
    <w:p>
      <w:pPr>
        <w:jc w:val="both"/>
        <w:ind w:left="300" w:right="140" w:hanging="184"/>
        <w:spacing w:after="0" w:line="250" w:lineRule="auto"/>
        <w:tabs>
          <w:tab w:leader="none" w:pos="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attention has been, and will continue to be, diverted from day-to-day operations while the acquisition is pending. If the acquisition is not completed, management will have devoted substantial time and resources to a transaction that will not be consummated, which could adversely affect our financial results.</w:t>
      </w:r>
    </w:p>
    <w:p>
      <w:pPr>
        <w:spacing w:after="0" w:line="1" w:lineRule="exact"/>
        <w:rPr>
          <w:rFonts w:ascii="Times New Roman" w:cs="Times New Roman" w:eastAsia="Times New Roman" w:hAnsi="Times New Roman"/>
          <w:sz w:val="18"/>
          <w:szCs w:val="18"/>
          <w:color w:val="auto"/>
        </w:rPr>
      </w:pPr>
    </w:p>
    <w:p>
      <w:pPr>
        <w:ind w:left="300" w:right="100" w:hanging="198"/>
        <w:spacing w:after="0" w:line="250"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the TJIM Acquisition as a strategic step to transition Bimini into a pure asset management firm with a more diverse mix of assets under management. If the acquisition is not completed, we may not be able to realize these anticipated strategic benefits or may need to pursue alternative strategies that may be less favorable or more costly.</w:t>
      </w:r>
    </w:p>
    <w:p>
      <w:pPr>
        <w:spacing w:after="0" w:line="1" w:lineRule="exact"/>
        <w:rPr>
          <w:rFonts w:ascii="Times New Roman" w:cs="Times New Roman" w:eastAsia="Times New Roman" w:hAnsi="Times New Roman"/>
          <w:sz w:val="18"/>
          <w:szCs w:val="18"/>
          <w:color w:val="auto"/>
        </w:rPr>
      </w:pPr>
    </w:p>
    <w:p>
      <w:pPr>
        <w:ind w:left="300" w:hanging="184"/>
        <w:spacing w:after="0" w:line="260" w:lineRule="auto"/>
        <w:tabs>
          <w:tab w:leader="none" w:pos="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the acquisition could result in negative publicity and negatively impact our reputation in the marketplace, which could make it more difficult for us to pursue similar strategic transactions in the future.</w:t>
      </w:r>
    </w:p>
    <w:p>
      <w:pPr>
        <w:spacing w:after="0" w:line="18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Additionally, the market price of our common stock may decline to the extent that the current market price of our shares reflects a market assumption that the acquisition will be completed and the anticipated benefits will be realized. More information regarding the proposed acquisition can be found in the Company’s Current Report on Form 8-K filed with the SEC on January 14, 2026.</w:t>
      </w:r>
    </w:p>
    <w:p>
      <w:pPr>
        <w:spacing w:after="0" w:line="174" w:lineRule="exact"/>
        <w:rPr>
          <w:sz w:val="20"/>
          <w:szCs w:val="20"/>
          <w:color w:val="auto"/>
        </w:rPr>
      </w:pPr>
    </w:p>
    <w:p>
      <w:pPr>
        <w:ind w:right="2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Even if we complete the TJIM Acquisition, we may not realize the anticipated benefits of the acquisition, and the acquisition may disrupt our current operations or expose us to additional risks.</w:t>
      </w:r>
    </w:p>
    <w:p>
      <w:pPr>
        <w:spacing w:after="0" w:line="16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Assuming the TJIM Acquisition is completed, we will face a number of risks that could adversely affect our business, financial condition, and results of operations.</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announced the acquisition as a strategic step to transition Bimini into a pure asset management firm with a more diverse mix of assets under management, and we anticipate that the Company (including TJIM) will realize other benefits from the transaction. However, there can be no assurance that we will be able to successfully realize these anticipated strategic and financial benefits. If we are unable to achieve our strategic objectives following the acquisition, we may not realize a satisfactory return on our investment, which could adversely affect our business, financial condition, and results of operations.</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success of the acquisition depends in part on retaining TJIM's existing management team and key employees, including TJIM’s principal seller. Although completion of the acquisition is conditioned on the principal seller entering into a new three-year employment agreement with TJIM and certain other key employees entering into employment agreements with TJIM, there can be no assurance that he or other key employees will remain with TJIM following the acquisition or the expiration of any employment agreement. The loss of key personnel could materially and adversely affect TJIM's investment performance and client relationships, and therefore our return on investment in TJIM.</w:t>
      </w:r>
    </w:p>
    <w:p>
      <w:pPr>
        <w:spacing w:after="0" w:line="18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Clients of TJIM may choose to terminate their advisory relationships with TJIM prior to or following the closing of the acquisition. Loss of a significant portion of TJIM's client base or assets under management could materially and adversely affect the financial performance of TJIM and therefore our return on investment and results of operation.</w:t>
      </w:r>
    </w:p>
    <w:p>
      <w:pPr>
        <w:spacing w:after="0" w:line="17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purchase price for the acquisition is based on a multiple of TJIM's revenue, with up to $12,000,000 of the purchase price payable at closing, 12.5% of which is to be held in escrow to secure the seller parties’ indemnification obligations and the Company’s right to any applicable post-closing purchase price adjustment. The remaining portion of the purchase price, if any, will be paid over the next one to three years following closing (depending on the total purchase price). In addition, the transaction agreements include mutual put and call rights that could result in our acquisition of the remaining 20% equity interest retained by the sellers. These future payment obligations could strain our financial resources and limit our ability to pursue other strategic opportunities.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Integration of TJIM's operations, technology systems, personnel, and business processes may be complex, time-consuming, and expensive. The integration process could disrupt both companies' ongoing businesses and divert management attention from day-to-day operations, which could harm our business and financial results. We may also encounter unforeseen difficulties, costs, or delays in connection with the integration.</w:t>
      </w:r>
    </w:p>
    <w:p>
      <w:pPr>
        <w:spacing w:after="0" w:line="174" w:lineRule="exact"/>
        <w:rPr>
          <w:sz w:val="20"/>
          <w:szCs w:val="20"/>
          <w:color w:val="auto"/>
        </w:rPr>
      </w:pPr>
    </w:p>
    <w:p>
      <w:pPr>
        <w:ind w:left="340" w:right="320"/>
        <w:spacing w:after="0" w:line="267" w:lineRule="auto"/>
        <w:rPr>
          <w:sz w:val="20"/>
          <w:szCs w:val="20"/>
          <w:color w:val="auto"/>
        </w:rPr>
      </w:pPr>
      <w:r>
        <w:rPr>
          <w:rFonts w:ascii="Times New Roman" w:cs="Times New Roman" w:eastAsia="Times New Roman" w:hAnsi="Times New Roman"/>
          <w:sz w:val="18"/>
          <w:szCs w:val="18"/>
          <w:i w:val="1"/>
          <w:iCs w:val="1"/>
          <w:color w:val="auto"/>
        </w:rPr>
        <w:t>Adverse market developments could cause our lenders to require us to pledge additional assets as collateral. If our assets were insufficient to meet these collateral requirements, we might be compelled to liquidate particular assets at inopportune times and at unfavorable prices, which could materially adversely affect our business, financial condition and results of operations.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Adverse market developments, including a sharp or prolonged rise in interest rates, a change in prepayment rates or increasing market concern about the value or liquidity of one or more types of Agency MBS, might reduce the market value of our portfolio, which might cause our lenders to initiate margin calls. The specific collateral value to borrowing ratio that would trigger a margin call is not set in the master repurchase agreements and not determined until we engage in a repo transaction under these agreements. Our fixed-rate Agency MBS generally are more susceptible to margin calls as increases in interest rates tend to more negatively affect the market value of fixed-rate securities. The threat or occurrence of a margin call could force us to sell, either directly or if we are unable to satisfy such margin call through a foreclosure, our Agency MBS under adverse market conditions. Because of the significant leverage we have and expect to have, we may incur substantial losses upon the threat or occurrence of a margin call, which could materially adversely affect our business, financial condition and results of operations. We have sold Agency MBS to satisfy margin calls in the past in adverse market conditions. These sales have, and may in the future, cause us to realize losses. This risk is magnified given that the Company’s equity capital, particularly its tangible equity, is relatively small.</w:t>
      </w:r>
    </w:p>
    <w:p>
      <w:pPr>
        <w:spacing w:after="0" w:line="192" w:lineRule="exact"/>
        <w:rPr>
          <w:sz w:val="20"/>
          <w:szCs w:val="20"/>
          <w:color w:val="auto"/>
        </w:rPr>
      </w:pPr>
    </w:p>
    <w:p>
      <w:pPr>
        <w:ind w:left="340" w:right="500"/>
        <w:spacing w:after="0" w:line="284" w:lineRule="auto"/>
        <w:rPr>
          <w:sz w:val="20"/>
          <w:szCs w:val="20"/>
          <w:color w:val="auto"/>
        </w:rPr>
      </w:pPr>
      <w:r>
        <w:rPr>
          <w:rFonts w:ascii="Times New Roman" w:cs="Times New Roman" w:eastAsia="Times New Roman" w:hAnsi="Times New Roman"/>
          <w:sz w:val="18"/>
          <w:szCs w:val="18"/>
          <w:i w:val="1"/>
          <w:iCs w:val="1"/>
          <w:color w:val="auto"/>
        </w:rPr>
        <w:t>Hedging against interest rate exposure may not completely insulate us from interest rate risk and could materially adversely affect our business, financial condition and results of operations.</w:t>
      </w:r>
    </w:p>
    <w:p>
      <w:pPr>
        <w:spacing w:after="0" w:line="160"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We may enter into interest rate cap or swap agreements or pursue other hedging strategies, including the purchase of puts, calls or other options and futures contracts in order to hedge the interest rate risk of our portfolio. In general, our hedging strategy depends on our view of our entire portfolio consisting of assets, liabilities and derivative instruments, in light of prevailing market conditions. We could misjudge the condition of our investment portfolio or the market. Our hedging activity will vary in scope based on the level and volatility of interest rates and principal prepayments, the type of Agency MBS we hold and other changing market conditions. Hedging may fail to protect or could adversely affect us because, among other things:</w:t>
      </w:r>
    </w:p>
    <w:p>
      <w:pPr>
        <w:spacing w:after="0" w:line="183"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can be expensive, particularly during periods of rising and volatile interest rates;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interest rate hedging may not correspond directly with the interest rate risk for which protection is sought;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the hedge may not match the duration of the related liability;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types of hedges may expose us to risk of loss beyond the fee paid to initiate the hedge;</w:t>
      </w:r>
    </w:p>
    <w:p>
      <w:pPr>
        <w:spacing w:after="0" w:line="9" w:lineRule="exact"/>
        <w:rPr>
          <w:rFonts w:ascii="Times New Roman" w:cs="Times New Roman" w:eastAsia="Times New Roman" w:hAnsi="Times New Roman"/>
          <w:sz w:val="18"/>
          <w:szCs w:val="18"/>
          <w:color w:val="auto"/>
        </w:rPr>
      </w:pPr>
    </w:p>
    <w:p>
      <w:pPr>
        <w:ind w:left="980" w:right="60" w:hanging="324"/>
        <w:spacing w:after="0" w:line="25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quality of the counterparty on the hedge may be downgraded to such an extent that it impairs our ability to sell or assign our side of the hedging transaction; and</w:t>
      </w:r>
    </w:p>
    <w:p>
      <w:pPr>
        <w:ind w:left="980" w:right="300" w:hanging="324"/>
        <w:spacing w:after="0" w:line="26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counterparty in the hedging transaction may fail to perform under our hedging instruments, including by defaulting on its obligation to pay.</w:t>
      </w:r>
    </w:p>
    <w:p>
      <w:pPr>
        <w:spacing w:after="0" w:line="18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There are no perfect hedging strategies, and interest rate hedging strategies deployed by us have failed, and strategies deployed by us may fail in the future, to protect us from loss. Alternatively, we may fail to properly assess a risk to our investment portfolio or may fail to recognize a risk entirely, leaving us exposed to losses without the benefit of any offsetting hedging activities. The derivative financial instruments we select may not have the effect of reducing our interest rate risk. The nature and timing of hedging transactions may influence the effectiveness of these strategies. Poorly designed strategies or improperly executed transactions could actually increase our risk and losses. In addition, hedging activities could result in losses if the event against which we hedge does not occur. These risks are magnified given that the Company’s equity capital, particularly its tangible equity, is relatively small.</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Because of the foregoing risks, our hedging activity could materially adversely affect our business, financial condition and results of operations.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use of certain hedging techniques may expose us to counterparty risks.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our hedging instruments are not traded on regulated exchanges, guaranteed by an exchange or its clearinghouse, or regulated by any U.S. or foreign governmental authorities, there may not be requirements with respect to record keeping, financial responsibility or segregation of customer funds and positions. Furthermore, the enforceability of agreements underlying hedging transactions may depend on compliance with applicable statutory, exchange and other regulatory requirements and, depending on the domicile of the counterparty, applicable international requirements. Consequently, if any of these issues causes a counterparty to fail to perform under a derivative agreement we could incur a significant loss.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example, if a swap exchange utilized in an interest rate swap agreement that we enter into as part of our hedging strategy cannot perform under the terms of the interest rate swap agreement, we may not receive payments due under that agreement, and, thus, we may lose any potential benefit associated with the interest rate swap. Additionally, we may also risk the loss of any collateral we have pledged to secure our obligations under these swap agreements if the exchange becomes insolvent or files for bankruptcy. Similarly, if an interest rate swaption counterparty fails to perform under the terms of the interest rate swaption agreement, in addition to not being able to exercise or otherwise cash settle the agreement, we could also incur a loss for the premium paid for that swaption.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use of leverage could materially adversely affect our business, financial condition and results of operations.</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incur indebtedness by borrowing against a substantial portion of the market value of our PT Agency MBS and a portion of our structured Agency MBS. Our total indebtedness, however, is not expressly limited by our policies and will depend on our prospective lenders’ estimates of the stability of our portfolio’s cash flow. As a result, there is no limit on the amount of leverage that we may incur. We face the risk that we might not be able to meet our debt service obligations or a lender’s margin requirements from our income and, to the extent we cannot, we might be forced to liquidate some of our Agency MBS at unfavorable prices. Our use of leverage could materially adversely affect our business, financial condition and results of operations. For example, a decline in the market value of the PT Agency MBS or structured Agency MBS used to secure our debt obligations could limit our ability to borrow or result in lenders requiring us to pledge additional collateral to secure our borrowings. In that situation, we could be required to sell Agency MBS under adverse market conditions in order to obtain the additional collateral required by the lender. If these sales are made at prices lower than the carrying value of the Agency MBS, we would experience losses. If we experience losses as a result of our use of leverage, such losses could materially adversely affect our business, results of operations and financial condition.</w:t>
      </w:r>
    </w:p>
    <w:p>
      <w:pPr>
        <w:spacing w:after="0" w:line="192" w:lineRule="exact"/>
        <w:rPr>
          <w:sz w:val="20"/>
          <w:szCs w:val="20"/>
          <w:color w:val="auto"/>
        </w:rPr>
      </w:pPr>
    </w:p>
    <w:p>
      <w:pPr>
        <w:ind w:left="340" w:right="160"/>
        <w:spacing w:after="0" w:line="284" w:lineRule="auto"/>
        <w:rPr>
          <w:sz w:val="20"/>
          <w:szCs w:val="20"/>
          <w:color w:val="auto"/>
        </w:rPr>
      </w:pPr>
      <w:r>
        <w:rPr>
          <w:rFonts w:ascii="Times New Roman" w:cs="Times New Roman" w:eastAsia="Times New Roman" w:hAnsi="Times New Roman"/>
          <w:sz w:val="18"/>
          <w:szCs w:val="18"/>
          <w:i w:val="1"/>
          <w:iCs w:val="1"/>
          <w:color w:val="auto"/>
        </w:rPr>
        <w:t>Volatile market conditions for mortgages and mortgage-related assets as well as the broader financial markets can result in a significant contraction in liquidity for mortgages and mortgage-related assets, which may adversely affect the value of the assets in which we invest.</w:t>
      </w:r>
    </w:p>
    <w:p>
      <w:pPr>
        <w:spacing w:after="0" w:line="16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Our results of operations are materially affected by conditions in the markets for mortgages and mortgage-related assets, including Agency MBS, as well as the broader financial markets and the economy generally.</w:t>
      </w:r>
    </w:p>
    <w:p>
      <w:pPr>
        <w:spacing w:after="0" w:line="16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Significant adverse changes in financial market conditions can result in a deleveraging of the global financial system and the forced sale of large quantities of mortgage-related and other financial assets. Concerns over high interest rates, inflation, economic recession, geopolitical issues including events such as global pandemics, the conflicts in Ukraine and the Middle East, policy priorities of the U.S. presidential administration, trade wars, unemployment, the availability and cost of financing, the mortgage market and a declining real estate market or prolonged government shutdown have in the past contributed, and may contribute in the future, to increased volatility and diminished expectations for the economy and markets.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Increased volatility and deterioration in the markets for mortgages and mortgage-related assets as well as the broader financial markets have in the past adversely affected, and may adversely affect in the future, the performance and market value of our Agency MBS and our investment in Orchid common stock. If these conditions exist, institutions from which we seek financing for our investments may tighten their lending standards, increase margin calls or become insolvent, which could make it more difficult for us to obtain financing on favorable terms or at all. Our profitability and financial condition may be adversely affected if we are unable to obtain cost-effective financing for our investments.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forward settling transactions, including TBA transactions, subject us to certain risks, including price risks and counterparty risks.</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purchase some of our Agency MBS through forward settling transactions, including TBAs. In a forward settling transaction, we enter into a forward purchase agreement with a counterparty to purchase either (i) an identified Agency MBS, or (ii) a TBA Agency MBS with certain terms. As with any forward purchase contract, the value of the underlying Agency MBS may decrease between the trade date and the settlement date. Furthermore, a transaction counterparty may fail to deliver the underlying Agency MBS at the settlement date. If any of these risks were to occur, our financial condition and results of operations may be materially adversely affected.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340" w:right="260"/>
        <w:spacing w:after="0" w:line="267" w:lineRule="auto"/>
        <w:rPr>
          <w:sz w:val="20"/>
          <w:szCs w:val="20"/>
          <w:color w:val="auto"/>
        </w:rPr>
      </w:pPr>
      <w:r>
        <w:rPr>
          <w:rFonts w:ascii="Times New Roman" w:cs="Times New Roman" w:eastAsia="Times New Roman" w:hAnsi="Times New Roman"/>
          <w:sz w:val="18"/>
          <w:szCs w:val="18"/>
          <w:i w:val="1"/>
          <w:iCs w:val="1"/>
          <w:color w:val="auto"/>
        </w:rPr>
        <w:t>We rely on analytical models and other data to analyze potential asset acquisition and disposition opportunities and to manage our portfolio. Such models and other data may be incorrect, misleading or incomplete, which could cause us to purchase assets that do not meet our expectations or to make asset management decisions that are not in line with our strategy.</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rely on analytical models, and information and other data supplied by third parties. These models and data may be used to value assets or potential asset acquisitions and dispositions and in connection with our asset management activities. If our models and data prove to be incorrect, misleading or incomplete, any decisions made in reliance thereon could expose us to potential risks.</w:t>
      </w:r>
    </w:p>
    <w:p>
      <w:pPr>
        <w:spacing w:after="0" w:line="176" w:lineRule="exact"/>
        <w:rPr>
          <w:sz w:val="20"/>
          <w:szCs w:val="20"/>
          <w:color w:val="auto"/>
        </w:rPr>
      </w:pPr>
    </w:p>
    <w:p>
      <w:pPr>
        <w:ind w:right="120" w:firstLine="324"/>
        <w:spacing w:after="0" w:line="312" w:lineRule="auto"/>
        <w:rPr>
          <w:sz w:val="20"/>
          <w:szCs w:val="20"/>
          <w:color w:val="auto"/>
        </w:rPr>
      </w:pPr>
      <w:r>
        <w:rPr>
          <w:rFonts w:ascii="Times New Roman" w:cs="Times New Roman" w:eastAsia="Times New Roman" w:hAnsi="Times New Roman"/>
          <w:sz w:val="17"/>
          <w:szCs w:val="17"/>
          <w:color w:val="auto"/>
        </w:rPr>
        <w:t>Our reliance on models and data may induce us to purchase certain assets at prices that are too high, to sell certain other assets at prices that are too low or to miss favorable opportunities altogether. Similarly, any hedging activities that are based on faulty models and data may prove to be unsuccessful.</w:t>
      </w:r>
    </w:p>
    <w:p>
      <w:pPr>
        <w:spacing w:after="0" w:line="14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Some models, such as prepayment models, are predictive in nature. The use of predictive models has inherent risks. For example, such models may incorrectly forecast future behavior, leading to potential losses. In addition, the predictive models used by us may differ substantially from those models used by other market participants, resulting in valuations based on these predictive models that may be substantially higher or lower for certain assets than actual market prices. Furthermore, because predictive models are usually constructed based on historical data supplied by third parties, the success of relying on such models may depend heavily on the accuracy and reliability of the supplied historical data, and, in the case of predicting performance in scenarios with little or no historical precedent (such as extreme broad-based declines in home prices, or deep economic recessions or depressions), such models must employ greater degrees of extrapolation and are therefore more speculative and less reliable.</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All valuation models rely on correct market data input. If incorrect market data is entered into even a well-founded valuation model, the resulting valuations will be incorrect. However, even if market data is inputted correctly, “model prices” will often differ substantially from market prices, especially for securities with complex characteristics or whose values are particularly sensitive to various factors. If our market data inputs are incorrect or our model prices differ substantially from market prices, our business, financial condition and results of operations could be materially adversely affected.</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Valuations of our assets are based on third-party input, and on our own judgement, which can result in fluctuations over time.</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While in many cases our determination of the fair value of our assets is based on valuations provided by third-party dealers and pricing services, we can and do value assets based upon our judgment, and such valuations may differ from those provided by third-party dealers and pricing services. In general, dealers and pricing services heavily disclaim their valuations. Additionally, dealers may claim to furnish valuations only as an accommodation and without special compensation, and so they may disclaim any and all liability for any direct, incidental or consequential damages arising out of any inaccuracy or incompleteness in valuations, including any act of negligence or breach of any warranty. Depending on the complexity and illiquidity of an asset, valuations of the same asset can vary substantially from one dealer or pricing service to another. The valuation process during times of market distress can be particularly difficult and unpredictable and during such time the disparity of valuations provided by third-party dealers can widen. Because the price estimates provided by third-party dealers and pricing services may vary, we must make certain judgments and assumptions about the appropriate price to use to calculate the fair values. Our business, financial condition and results of operations could be materially adversely affected if our fair value determinations of these assets were materially higher than the values that would exist if a ready market existed for these assets.</w:t>
      </w:r>
    </w:p>
    <w:p>
      <w:pPr>
        <w:spacing w:after="0" w:line="192" w:lineRule="exact"/>
        <w:rPr>
          <w:sz w:val="20"/>
          <w:szCs w:val="20"/>
          <w:color w:val="auto"/>
        </w:rPr>
      </w:pPr>
    </w:p>
    <w:p>
      <w:pPr>
        <w:ind w:left="340" w:right="60"/>
        <w:spacing w:after="0" w:line="284" w:lineRule="auto"/>
        <w:rPr>
          <w:sz w:val="20"/>
          <w:szCs w:val="20"/>
          <w:color w:val="auto"/>
        </w:rPr>
      </w:pPr>
      <w:r>
        <w:rPr>
          <w:rFonts w:ascii="Times New Roman" w:cs="Times New Roman" w:eastAsia="Times New Roman" w:hAnsi="Times New Roman"/>
          <w:sz w:val="18"/>
          <w:szCs w:val="18"/>
          <w:i w:val="1"/>
          <w:iCs w:val="1"/>
          <w:color w:val="auto"/>
        </w:rPr>
        <w:t>Because the assets that we acquire might experience periods of illiquidity, we might be prevented from selling our Agency MBS at favorable times and prices, which could materially adversely affect our business, financial condition and results of operations.</w:t>
      </w:r>
    </w:p>
    <w:p>
      <w:pPr>
        <w:spacing w:after="0" w:line="16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Agency MBS generally experience periods of illiquidity. Such conditions are more likely to occur for structured Agency MBS because such securities are generally traded in markets much less liquid than the PT Agency MBS market. As a result, we may be unable to dispose of our Agency MBS at advantageous times and prices or in a timely manner. The lack of liquidity might result from the absence of a willing buyer or an established market for these assets as well as legal or contractual restrictions on resale. The illiquidity of Agency MBS could materially adversely affect our business, financial condition and results of operations.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40" w:right="140"/>
        <w:spacing w:after="0" w:line="284" w:lineRule="auto"/>
        <w:rPr>
          <w:sz w:val="20"/>
          <w:szCs w:val="20"/>
          <w:color w:val="auto"/>
        </w:rPr>
      </w:pPr>
      <w:r>
        <w:rPr>
          <w:rFonts w:ascii="Times New Roman" w:cs="Times New Roman" w:eastAsia="Times New Roman" w:hAnsi="Times New Roman"/>
          <w:sz w:val="18"/>
          <w:szCs w:val="18"/>
          <w:i w:val="1"/>
          <w:iCs w:val="1"/>
          <w:color w:val="auto"/>
        </w:rPr>
        <w:t>Our use of repurchase agreements may give our lenders greater rights in the event that either we or any of our lenders file for bankruptcy, which may make it difficult for us to recover our collateral in the event of a bankruptcy filing.</w:t>
      </w:r>
    </w:p>
    <w:p>
      <w:pPr>
        <w:spacing w:after="0" w:line="16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borrowings under repurchase agreements may qualify for special treatment under the bankruptcy code, giving our lenders the ability to avoid the automatic stay provisions of the bankruptcy code and to take possession of and liquidate our collateral under the repurchase agreements without delay if we file for bankruptcy. Furthermore, the special treatment of repurchase agreements under the bankruptcy code may make it difficult for us to recover our pledged assets in the event that any of our lenders files for bankruptcy. Thus, the use of repurchase agreements exposes our pledged assets to risk in the event of a bankruptcy filing by either our lenders or us. In addition, if the lender is a broker or dealer subject to the Securities Investor Protection Act of 1970, or an insured depository institution subject to the Federal Deposit Insurance Act, our ability to exercise our rights to recover our investment under a repurchase agreement or to be compensated for any damages resulting from the lender’s insolvency may be further limited by those statutes.</w:t>
      </w:r>
    </w:p>
    <w:p>
      <w:pPr>
        <w:spacing w:after="0" w:line="187" w:lineRule="exact"/>
        <w:rPr>
          <w:sz w:val="20"/>
          <w:szCs w:val="20"/>
          <w:color w:val="auto"/>
        </w:rPr>
      </w:pPr>
    </w:p>
    <w:p>
      <w:pPr>
        <w:ind w:left="340" w:right="80"/>
        <w:spacing w:after="0" w:line="267" w:lineRule="auto"/>
        <w:rPr>
          <w:sz w:val="20"/>
          <w:szCs w:val="20"/>
          <w:color w:val="auto"/>
        </w:rPr>
      </w:pPr>
      <w:r>
        <w:rPr>
          <w:rFonts w:ascii="Times New Roman" w:cs="Times New Roman" w:eastAsia="Times New Roman" w:hAnsi="Times New Roman"/>
          <w:sz w:val="18"/>
          <w:szCs w:val="18"/>
          <w:i w:val="1"/>
          <w:iCs w:val="1"/>
          <w:color w:val="auto"/>
        </w:rPr>
        <w:t>If a repurchase agreement counterparty defaults on their obligations to resell the Agency MBS back to us at the end of the repo transaction term, if the value of the Agency MBS has declined by the end of the repo transaction term, or if we default on our obligations under the repo transaction, we will lose money on these transactions, which, in turn, may materially adversely affect our business, financial condition and results of operations.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When we engage in a repo transaction, we initially sell securities to the financial institution under one of our master repurchase agreements in exchange for cash, and our counterparty is obligated to resell the securities to us at the end of the term of the transaction, which is typically less than 90 days but may be up to 364 days or more. The cash we receive when we initially sell the securities is less than the value of those securities, which is referred to as the “haircut.” Many financial institutions from which we may obtain repurchase agreement financing have increased their haircuts in the past and may do so again in the future. When haircuts are increased, we are required to post additional cash or securities as collateral for our Agency MBS. If our counterparty defaults on its obligation to resell the securities to us, we would incur a loss on the transaction equal to the amount of the haircut (assuming there was no change in the value of the securities). We would also lose money on a repo transaction if the value of the underlying securities had declined as of the end of the transaction term, as we would have to repurchase the securities for their initial value but would receive securities worth less than that amount. Any losses we incur on our repo transactions could materially adversely affect our business, financial condition and results of operations.</w:t>
      </w:r>
    </w:p>
    <w:p>
      <w:pPr>
        <w:spacing w:after="0" w:line="18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we default on one of our obligations under a repurchase agreement transaction, the counterparty can terminate the transaction and cease entering into any other repo transactions with us. In that case, we would likely need to establish a replacement repurchase facility with another financial institution in order to continue to leverage our portfolio and carry out our investment strategy. There is no assurance we would be able to establish a suitable replacement facility on acceptable terms or at all.</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We have issued long-term debt to fund our operations which can increase the volatility of our earnings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equity.</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October 2005, Bimini Capital completed a private offering of trust preferred securities of Bimini Capital Trust II, of which $26.8 million are still outstanding. The Company must pay interest on these junior subordinated notes on a quarterly basis at a rate equal to CME 3-month Term SOFR plus a tenor spread adjustment of 0.26161% plus the coupon spread of 3.50%. To the extent the Company’s does not generate sufficient earnings to cover the interest payments on the debt, our earnings and stockholders’ equity may be negatively impacted. The Company considers the junior subordinated notes as part of its long-term capital base. Therefore, for purposes of all disclosure in this report concerning our capital or leverage, the Company considers both stockholders’ equity and the $26.8 million of junior subordinated notes to constitute capital.</w:t>
      </w:r>
    </w:p>
    <w:p>
      <w:pPr>
        <w:spacing w:after="0" w:line="187"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auto"/>
        </w:rPr>
        <w:t>The Company has also elected to account for its investments in MBS under the fair value option and, therefore, will report MBS on our financial statements at fair value with unrealized gains and losses included in earnings. Changes in the value of the MBS do not impact the outstanding balance of the junior subordinated notes but rather our stockholders’ equity. Therefore, changes in the value of our MBS will be absorbed solely by our stockholders’ equity. Because our stockholders’ equity is small in relation to our total capital, such changes may result in significant changes in our stockholders’ equity.</w:t>
      </w:r>
    </w:p>
    <w:p>
      <w:pPr>
        <w:spacing w:after="0" w:line="162" w:lineRule="exact"/>
        <w:rPr>
          <w:sz w:val="20"/>
          <w:szCs w:val="20"/>
          <w:color w:val="auto"/>
        </w:rPr>
      </w:pPr>
    </w:p>
    <w:p>
      <w:pPr>
        <w:ind w:left="340" w:right="860"/>
        <w:spacing w:after="0" w:line="284" w:lineRule="auto"/>
        <w:rPr>
          <w:sz w:val="20"/>
          <w:szCs w:val="20"/>
          <w:color w:val="auto"/>
        </w:rPr>
      </w:pPr>
      <w:r>
        <w:rPr>
          <w:rFonts w:ascii="Times New Roman" w:cs="Times New Roman" w:eastAsia="Times New Roman" w:hAnsi="Times New Roman"/>
          <w:sz w:val="18"/>
          <w:szCs w:val="18"/>
          <w:i w:val="1"/>
          <w:iCs w:val="1"/>
          <w:color w:val="auto"/>
        </w:rPr>
        <w:t>Clearing facilities or exchanges upon which some of our hedging instruments are traded may increase margin requirements on our hedging instruments in the event of adverse economic developments.</w:t>
      </w:r>
    </w:p>
    <w:p>
      <w:pPr>
        <w:spacing w:after="0" w:line="16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response to events having or expected to have adverse economic consequences or which create market uncertainty, clearing facilities or exchanges upon which some of our hedging instruments, such as T-Note, Fed Funds and SOFR futures contracts, are traded may require us to post additional collateral against our hedging instruments. In the event that future adverse economic developments or market uncertainty result in increased margin requirements for our hedging instruments, it could materially adversely affect our liquidity position,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20" w:right="5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Our inability to access funding or the terms on which such funding is available could have a material adverse effect on our financial condition, particularly in times of significant market dislocations.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Our ability to fund our operations, meet financial obligations and finance asset acquisitions is dependent upon our ability to secure and</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maintain repurchase agreements with our counterparties. Because repurchase agreements are short-term commitments of capital, lenders may respond to market conditions in ways that make it more difficult for us to renew or replace on a continuous basis our maturing short-term borrowings and have imposed and may continue to impose more onerous terms when rolling such financings. If we are not able to renew our existing repurchase agreements or arrange for new financing on terms acceptable to us, or if we are required to post more collateral or face larger haircuts, we may have to curtail our asset acquisition activities and/or dispose of assets.</w:t>
      </w:r>
    </w:p>
    <w:p>
      <w:pPr>
        <w:spacing w:after="0" w:line="187" w:lineRule="exact"/>
        <w:rPr>
          <w:sz w:val="20"/>
          <w:szCs w:val="20"/>
          <w:color w:val="auto"/>
        </w:rPr>
      </w:pPr>
    </w:p>
    <w:p>
      <w:pPr>
        <w:ind w:firstLine="288"/>
        <w:spacing w:after="0" w:line="252" w:lineRule="auto"/>
        <w:rPr>
          <w:sz w:val="20"/>
          <w:szCs w:val="20"/>
          <w:color w:val="auto"/>
        </w:rPr>
      </w:pPr>
      <w:r>
        <w:rPr>
          <w:rFonts w:ascii="Times New Roman" w:cs="Times New Roman" w:eastAsia="Times New Roman" w:hAnsi="Times New Roman"/>
          <w:sz w:val="18"/>
          <w:szCs w:val="18"/>
          <w:color w:val="auto"/>
        </w:rPr>
        <w:t>Issues related to financing are exacerbated in times of significant dislocation in the financial markets, for example, such as those experienced related to the COVID-19 pandemic. It is possible our lenders will become unwilling or unable to provide us with financing, and we could be forced to sell our assets at an inopportune time when prices are depressed. In addition, if the regulatory capital requirements imposed on our lenders change, they may be required to significantly increase the cost of the financing that they provide to us. Our lenders also have revised and may continue to revise the terms of such financings, including haircuts and requiring additional collateral in the form of cash, based on, among other factors, the regulatory environment and their management of actual and perceived risk. Moreover, the amount of financing we receive under our repurchase agreements will be directly related to our lenders’ valuation of our assets that collateralize the outstanding borrowings. Typically, repurchase agreements grant the lender the absolute right to re-evaluate the fair market value of the assets that cover outstanding borrowings at any time. If a lender determines in its sole discretion that the value of the assets has decreased, the lender has the right to initiate a margin call. These valuations may be different than the values that we ascribe to these assets and may be influenced by recent asset sales at distressed levels by forced sellers. A margin call requires us to transfer additional assets to a lender without any advance of funds from the lender for such transfer or to repay a portion of the outstanding borrowings. Significant margin calls could have a material adverse effect on our results of operations, financial condition, business, liquidity and ability to make distributions to our stockholders, and could cause the value of our common stock to decline. In addition, we have in the past experienced an increase in haircuts on financings we have rolled, and may again in the future. As haircuts are increased, we are required to post additional collateral. We may also be forced to sell assets at significantly depressed prices to meet such margin calls and to maintain adequate liquidity. As of December 31, 2024, we had met all margin call requirements, but a sufficiently deep and/or rapid increase in margin calls or haircuts could have an adverse impact on our liquidity.</w:t>
      </w:r>
    </w:p>
    <w:p>
      <w:pPr>
        <w:spacing w:after="0" w:line="193" w:lineRule="exact"/>
        <w:rPr>
          <w:sz w:val="20"/>
          <w:szCs w:val="20"/>
          <w:color w:val="auto"/>
        </w:rPr>
      </w:pPr>
    </w:p>
    <w:p>
      <w:pPr>
        <w:ind w:left="20" w:right="1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We may change our investment strategy, investment guidelines and asset allocation without notice or stockholder consent, which may result in riskier investments.</w:t>
      </w:r>
    </w:p>
    <w:p>
      <w:pPr>
        <w:spacing w:after="0" w:line="160" w:lineRule="exact"/>
        <w:rPr>
          <w:sz w:val="20"/>
          <w:szCs w:val="20"/>
          <w:color w:val="auto"/>
        </w:rPr>
      </w:pPr>
    </w:p>
    <w:p>
      <w:pPr>
        <w:ind w:left="20" w:right="6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change our investment strategy or asset allocation at any time without notice to or consent from our stockholders. To the extent that our investment strategy changes in the future, we may make investments that are different from, and possibly riskier than, the investments described in this Report. A change in our investment strategy may increase our exposure to interest rate and real estate market fluctuations. Furthermore, a change in our asset allocation could result in our allocating assets in a different manner than as described in this Report.</w:t>
      </w:r>
    </w:p>
    <w:p>
      <w:pPr>
        <w:spacing w:after="0" w:line="178" w:lineRule="exact"/>
        <w:rPr>
          <w:sz w:val="20"/>
          <w:szCs w:val="20"/>
          <w:color w:val="auto"/>
        </w:rPr>
      </w:pPr>
    </w:p>
    <w:p>
      <w:pPr>
        <w:ind w:left="360" w:right="700"/>
        <w:spacing w:after="0" w:line="284" w:lineRule="auto"/>
        <w:rPr>
          <w:sz w:val="20"/>
          <w:szCs w:val="20"/>
          <w:color w:val="auto"/>
        </w:rPr>
      </w:pPr>
      <w:r>
        <w:rPr>
          <w:rFonts w:ascii="Times New Roman" w:cs="Times New Roman" w:eastAsia="Times New Roman" w:hAnsi="Times New Roman"/>
          <w:sz w:val="18"/>
          <w:szCs w:val="18"/>
          <w:i w:val="1"/>
          <w:iCs w:val="1"/>
          <w:color w:val="auto"/>
        </w:rPr>
        <w:t>Competition might prevent us from acquiring Agency MBS at favorable yields, which could materially adversely affect our business, financial condition and results of operations.</w:t>
      </w:r>
    </w:p>
    <w:p>
      <w:pPr>
        <w:spacing w:after="0" w:line="160" w:lineRule="exact"/>
        <w:rPr>
          <w:sz w:val="20"/>
          <w:szCs w:val="20"/>
          <w:color w:val="auto"/>
        </w:rPr>
      </w:pPr>
    </w:p>
    <w:p>
      <w:pPr>
        <w:ind w:left="20" w:right="80" w:firstLine="324"/>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market for investment opportunities. Our net income largely depends on our ability to acquire Agency MBS at favorable spreads over our borrowing costs. In acquiring Agency MBS, we compete with a variety of institutional investors, including mortgage REITs, investment banking firms, savings and loan associations, banks, insurance companies, mutual funds, other lenders, other entities that purchase Agency MBS, the Fed, other governmental entities and government-sponsored entities, many of which have greater financial, technical, marketing and other resources than we do. Some competitors may have a lower cost of funds and access to funding sources that may not be available to us, such as funding from the U.S. government. In addition, some of our competitors may have higher risk tolerances or different risk assessments, which could allow them to consider a wider variety of investments. Furthermore, competition for investments in Agency MBS may lead the price of such investments to increase, which may further limit our ability to generate desired returns. As a result, we may not be able to acquire sufficient Agency MBS at favorable spreads over our borrowing costs, which would materially adversely affect our business, financial condition and results of operations.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40" w:right="140"/>
        <w:spacing w:after="0" w:line="267" w:lineRule="auto"/>
        <w:rPr>
          <w:sz w:val="20"/>
          <w:szCs w:val="20"/>
          <w:color w:val="auto"/>
        </w:rPr>
      </w:pPr>
      <w:r>
        <w:rPr>
          <w:rFonts w:ascii="Times New Roman" w:cs="Times New Roman" w:eastAsia="Times New Roman" w:hAnsi="Times New Roman"/>
          <w:sz w:val="18"/>
          <w:szCs w:val="18"/>
          <w:i w:val="1"/>
          <w:iCs w:val="1"/>
          <w:color w:val="auto"/>
        </w:rPr>
        <w:t>The occurrence of cyber-incidents, or a deficiency in our cybersecurity or in those of any of our third-party service providers could negatively impact our business by causing a disruption to our operations, a compromise or corruption of our confidential information or damage to our business relationships or reputation, all of which could negatively impact our business and results of operations.</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 cyber-incident is considered to be any adverse event that threatens the confidentiality, integrity, or availability of our information resources or the information resources of our third-party service providers. More specifically, a cyber-incident is an intentional attack or an unintentional event that can include gaining unauthorized access to systems to disrupt operations, corrupt data, or steal confidential information. As our reliance on technology has increased, so have the risks posed to our systems, both internal and those we have outsourced. The primary risks that could directly result from the occurrence of a cyber-incident include operational interruption and private data exposure. We have implemented processes, procedures and controls to help mitigate these risks, but these measures, as well as our focus on mitigating the risk of a cyber-incident, do not guarantee that our business and results of operations will not be negatively impacted by such an incident.</w:t>
      </w:r>
    </w:p>
    <w:p>
      <w:pPr>
        <w:spacing w:after="0" w:line="187" w:lineRule="exact"/>
        <w:rPr>
          <w:sz w:val="20"/>
          <w:szCs w:val="20"/>
          <w:color w:val="auto"/>
        </w:rPr>
      </w:pPr>
    </w:p>
    <w:p>
      <w:pPr>
        <w:ind w:right="4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We face possible risks associated with the effects of climate change, severe weather, natural disasters, acts of war or terrorism, and other adverse external events.</w:t>
      </w:r>
    </w:p>
    <w:p>
      <w:pPr>
        <w:spacing w:after="0" w:line="160" w:lineRule="exact"/>
        <w:rPr>
          <w:sz w:val="20"/>
          <w:szCs w:val="20"/>
          <w:color w:val="auto"/>
        </w:rPr>
      </w:pPr>
    </w:p>
    <w:p>
      <w:pPr>
        <w:ind w:firstLine="288"/>
        <w:spacing w:after="0" w:line="258" w:lineRule="auto"/>
        <w:rPr>
          <w:sz w:val="20"/>
          <w:szCs w:val="20"/>
          <w:color w:val="auto"/>
        </w:rPr>
      </w:pPr>
      <w:r>
        <w:rPr>
          <w:rFonts w:ascii="Times New Roman" w:cs="Times New Roman" w:eastAsia="Times New Roman" w:hAnsi="Times New Roman"/>
          <w:sz w:val="18"/>
          <w:szCs w:val="18"/>
          <w:color w:val="auto"/>
        </w:rPr>
        <w:t>We cannot predict the rate at which climate change will progress. However, the physical effects of climate change could have a material adverse effect on our operations and business. Our headquarters is located very close to the Florida coastline. Our headquarters has experienced and may in the future experience severe weather, including hurricanes and coastal flooding due to increases in storm intensity and rising sea levels. Such weather events and other natural disasters could disrupt our operations or damage our headquarters. There can be no assurance that climate change and severe weather will not have a material adverse effect on our operations or business.</w:t>
      </w:r>
    </w:p>
    <w:p>
      <w:pPr>
        <w:spacing w:after="0" w:line="183" w:lineRule="exact"/>
        <w:rPr>
          <w:sz w:val="20"/>
          <w:szCs w:val="20"/>
          <w:color w:val="auto"/>
        </w:rPr>
      </w:pPr>
    </w:p>
    <w:p>
      <w:pPr>
        <w:jc w:val="both"/>
        <w:ind w:right="40" w:firstLine="288"/>
        <w:spacing w:after="0" w:line="266" w:lineRule="auto"/>
        <w:rPr>
          <w:sz w:val="20"/>
          <w:szCs w:val="20"/>
          <w:color w:val="auto"/>
        </w:rPr>
      </w:pPr>
      <w:r>
        <w:rPr>
          <w:rFonts w:ascii="Times New Roman" w:cs="Times New Roman" w:eastAsia="Times New Roman" w:hAnsi="Times New Roman"/>
          <w:sz w:val="18"/>
          <w:szCs w:val="18"/>
          <w:color w:val="auto"/>
        </w:rPr>
        <w:t>The occurrence of other external events, including the emergence of a pandemic or other widespread health emergency (or concerns over the possibility of such an emergency), terrorist attacks, or acts of war could create economic and financial disruptions, and could lead to operational difficulties that could impair our ability to manage our businesses.</w:t>
      </w:r>
    </w:p>
    <w:p>
      <w:pPr>
        <w:spacing w:after="0" w:line="174" w:lineRule="exact"/>
        <w:rPr>
          <w:sz w:val="20"/>
          <w:szCs w:val="20"/>
          <w:color w:val="auto"/>
        </w:rPr>
      </w:pPr>
    </w:p>
    <w:p>
      <w:pPr>
        <w:ind w:left="340" w:right="360"/>
        <w:spacing w:after="0" w:line="267" w:lineRule="auto"/>
        <w:rPr>
          <w:sz w:val="20"/>
          <w:szCs w:val="20"/>
          <w:color w:val="auto"/>
        </w:rPr>
      </w:pPr>
      <w:r>
        <w:rPr>
          <w:rFonts w:ascii="Times New Roman" w:cs="Times New Roman" w:eastAsia="Times New Roman" w:hAnsi="Times New Roman"/>
          <w:sz w:val="18"/>
          <w:szCs w:val="18"/>
          <w:i w:val="1"/>
          <w:iCs w:val="1"/>
          <w:color w:val="auto"/>
        </w:rPr>
        <w:t>Cybersecurity-related incidents, including security breaches and failures of our information systems and those operated by third parties could significantly disrupt our business, result in the unintended disclosure or misuse of confidential or proprietary information, damage our reputation, increase our costs, and cause losses which may, in turn, adversely affect our business, financial condition and results of operations.</w:t>
      </w:r>
    </w:p>
    <w:p>
      <w:pPr>
        <w:spacing w:after="0" w:line="17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on communications and information systems that allow us to monitor, value, buy, sell, finance and hedge our investments and to store sensitive data. These systems are operated by third parties and, as a result, we have limited ability to ensure their continued operation. In the event of a systems failure or interruption, we will have limited ability to affect the timing and success of systems restoration. Any failure or interruption of these systems could cause delays or other problems in our securities trading activities, including Agency MBS trading activities, which could have a material adverse effect on our business, financial condition and results of operations.</w:t>
      </w:r>
    </w:p>
    <w:p>
      <w:pPr>
        <w:spacing w:after="0" w:line="18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Cybersecurity-related incidents, which include the use of computer malware, ransomware, viruses, and computer hacking and phishing attacks that could result in unauthorized access, theft, misuse, loss, release, or destruction of data, account takeovers, unavailability of services, or other events, have become more prevalent in the financial services industry and may occur on our or certain of our third party service providers' systems in the future These types of threats may derive from human error, fraud, or malice on the part of external or internal parties or may result from accidental technological failure. Further, these types of threats may be exacerbated by recent developments in artificial intelligence and its increased use to produce sophisticated malware, phishing schemes, and other fraudulent activities. We rely heavily on our financial, accounting and other data processing systems. Although we have not suffered a breach to date, financial services institutions have reported breaches of their systems, some of which have been significant. Even with all reasonable security efforts, not every breach can be prevented or even detected. It is possible that we, or certain of our third-party service providers have experienced an undetected breach, and it is likely that other financial institutions have experienced more breaches than have been detected and reported. There is no assurance that we, or certain of the third parties that facilitate our business activities, have not or will not experience a breach. It is difficult to determine what, if any, negative impact may directly result from any specific interruption or cyber-attacks or security breaches of our networks or systems (or the networks or systems of certain third parties that facilitate our business activities) or any failure to maintain performance, reliability and security of certain of our third-party service providers' technical infrastructure.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40" w:firstLine="324"/>
        <w:spacing w:after="0" w:line="270" w:lineRule="auto"/>
        <w:rPr>
          <w:sz w:val="20"/>
          <w:szCs w:val="20"/>
          <w:color w:val="auto"/>
        </w:rPr>
      </w:pPr>
      <w:r>
        <w:rPr>
          <w:rFonts w:ascii="Times New Roman" w:cs="Times New Roman" w:eastAsia="Times New Roman" w:hAnsi="Times New Roman"/>
          <w:sz w:val="17"/>
          <w:szCs w:val="17"/>
          <w:color w:val="auto"/>
        </w:rPr>
        <w:t>A cybersecurity-related incident or other significant disruption of our information systems or those of our customers or third-party vendors could (i) disrupt the proper functioning of our networks and systems and therefore our operations; (ii) result in the unauthorized access to, and destruction, loss, theft, misappropriation, or release of confidential, sensitive, or otherwise valuable information of ours; (iii) result in a violation of applicable privacy, data protection, and other laws, subjecting us to additional regulatory scrutiny and exposing us to civil litigation, enforcement actions, governmental fines, and possible financial liability; (iv) require significant management attention and resources to remedy the damages that result; or (v) harm our reputation. The occurrence of any of the foregoing could have a material adverse effect on our business, financial condition, and results of operations. Furthermore, in the event of a cyber-related incident, we may be delayed in identifying or responding to the incident, which could increase the negative impact of the incident on our business, financial condition, and results of operations. While we maintain “cyber” insurance coverage, which would apply in the event of certain cyber-related incidents, the amount of coverage may not be adequate depending on the magnitude of the incident. Furthermore, because cyber-related incidents are inherently difficult to predict and can take many forms, some incidents may not be covered under our cyber insurance coverage.</w:t>
      </w:r>
    </w:p>
    <w:p>
      <w:pPr>
        <w:spacing w:after="0" w:line="175" w:lineRule="exact"/>
        <w:rPr>
          <w:sz w:val="20"/>
          <w:szCs w:val="20"/>
          <w:color w:val="auto"/>
        </w:rPr>
      </w:pPr>
    </w:p>
    <w:p>
      <w:pPr>
        <w:ind w:left="340" w:right="480"/>
        <w:spacing w:after="0" w:line="284" w:lineRule="auto"/>
        <w:rPr>
          <w:sz w:val="20"/>
          <w:szCs w:val="20"/>
          <w:color w:val="auto"/>
        </w:rPr>
      </w:pPr>
      <w:r>
        <w:rPr>
          <w:rFonts w:ascii="Times New Roman" w:cs="Times New Roman" w:eastAsia="Times New Roman" w:hAnsi="Times New Roman"/>
          <w:sz w:val="18"/>
          <w:szCs w:val="18"/>
          <w:i w:val="1"/>
          <w:iCs w:val="1"/>
          <w:color w:val="auto"/>
        </w:rPr>
        <w:t>We depend on a limited number of individuals to operate our business, and the sudden loss of certain key individuals could adversely impact our business.</w:t>
      </w:r>
    </w:p>
    <w:p>
      <w:pPr>
        <w:spacing w:after="0" w:line="160" w:lineRule="exact"/>
        <w:rPr>
          <w:sz w:val="20"/>
          <w:szCs w:val="20"/>
          <w:color w:val="auto"/>
        </w:rPr>
      </w:pPr>
    </w:p>
    <w:p>
      <w:pPr>
        <w:ind w:right="80" w:firstLine="324"/>
        <w:spacing w:after="0" w:line="269" w:lineRule="auto"/>
        <w:rPr>
          <w:sz w:val="20"/>
          <w:szCs w:val="20"/>
          <w:color w:val="auto"/>
        </w:rPr>
      </w:pPr>
      <w:r>
        <w:rPr>
          <w:rFonts w:ascii="Times New Roman" w:cs="Times New Roman" w:eastAsia="Times New Roman" w:hAnsi="Times New Roman"/>
          <w:sz w:val="17"/>
          <w:szCs w:val="17"/>
          <w:color w:val="auto"/>
        </w:rPr>
        <w:t>Our Company only has ten full-time employees, and therefore our dependence on the efforts of any single employee to operate our business is significant. Our current senior management consists of two individuals, Robert E. Cauley, our Chairman and Chief Executive Officer, and G. Hunter Haas, our President, Board member, Chief Investment Officer, Chief Financial Officer and Treasurer. They are supported by others to manage our business. We depend on the diligence, experience and skill of all of our senior executives in managing all aspects of our business, including the selection, acquisition, structuring and monitoring of securities portfolios and associated borrowings. We have entered into contracts and compensation arrangements with</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Mr. Cauley and Mr. Haas that encourage their continued employment, although these contracts may not prevent either Mr. Cauley or Mr. Haas from leaving our company. While our Company has succession plans in place for the orderly departure of any key individual, the sudden loss of any of our senior executives or other employees could have a short-term adverse impact on our business, financial condition and results of operations.</w:t>
      </w:r>
    </w:p>
    <w:p>
      <w:pPr>
        <w:spacing w:after="0" w:line="184" w:lineRule="exact"/>
        <w:rPr>
          <w:sz w:val="20"/>
          <w:szCs w:val="20"/>
          <w:color w:val="auto"/>
        </w:rPr>
      </w:pPr>
    </w:p>
    <w:p>
      <w:pPr>
        <w:ind w:right="4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Our investment in Orchid or other mortgage REIT common stock may fluctuate in value which materially adversely affect our business, financial condition and results of operations.</w:t>
      </w:r>
    </w:p>
    <w:p>
      <w:pPr>
        <w:spacing w:after="0" w:line="160"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Investments in the securities of companies that own Agency MBS will be subject to all of the risks associated with the direct ownership of Agency MBS discussed above that could adversely affect the market price of the investment and the ability of the REIT to pay dividends. In addition, the market value of such securities could be affected by market conditions beyond the Company’s control, such as limited liquidity in the trading market for the securities. A decrease in the dividend payment rate or the market value of the securities could have a material adverse effect on our business, financial condition and results of operations.</w:t>
      </w:r>
    </w:p>
    <w:p>
      <w:pPr>
        <w:spacing w:after="0" w:line="183"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In addition, the Company’s ability to dispose of Orchid’s common equity securities may be hindered due to its relationship as Orchid’s manager and the possession of inside information. Also, if we or other significant investors sell or are perceived as intending to sell a substantial number of shares in a short period of time, the market price of our remaining shares could be adversely affected.</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 termination or non-renewal of our management agreement with Orchid would significantly reduce our revenues in the near term.</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significance of the management fees and overhead reimbursements relating to the services provided by Bimini Advisors to Orchid has increased, and is expected to continue to increase, as Orchid’s capital base continues to grow. The management agreement is automatically renewed in accordance with the terms of the agreement, each year, on February 20. However, with the consent of the majority of Orchid’s independent directors, and upon providing 180-days’ prior written notice, Orchid may elect not to renew the management agreement. If Orchid elects to not renew the agreement because of a decision by its Board of Directors that the management fee is unfair, Bimini Advisors will have the right to renegotiate a mutually agreeable management fee. If Orchid were to terminate the management agreement, or elect not to renew such agreement, in either case without cause, it would be obligated to pay to Bimini Advisors a termination fee equal to three times the average annual management fee, as defined in the management agreement, before or on the last day of the initial term or automatic renewal term. Notwithstanding the termination fee, The loss of the revenues from the relationship with Orchid, if it were to occur, would materially adversely affect our business, results of operation, and financial condition.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We may be subject to adverse legislative or regulatory changes that could reduce the market price of our common stock.</w:t>
      </w:r>
    </w:p>
    <w:p>
      <w:pPr>
        <w:spacing w:after="0" w:line="227"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At any time, laws or regulations, or the administrative or judicial interpretations of those laws or regulations, which impact our business may be amended. In addition, the markets for MBS and derivatives, including interest rate swaps, have been the subject of intense scrutiny in recent years. We cannot predict if or when any new law, regulation or administrative or judicial interpretation, or any amendment to any existing law, regulation or administrative or judicial interpretation, will be adopted or promulgated or will become effective. Additionally, revisions to these laws, regulations or administrative or judicial interpretations could cause us to change our investments. We could be materially adversely affected by any such change to any existing, or any new, law, regulation or administrative or judicial interpretation, which could reduce the market price of our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Organization and Structure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Loss of our exemption from regulation under the Investment Company Act would negatively affect the value of shares of our common stock.</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have operated and intend to continue to operate our business so as to be exempt from registration under the Investment Company Act, because we are “primarily engaged in the business of purchasing or otherwise acquiring mortgages and other liens on and interests in real estate.” Specifically, we invest and intend to continue to invest so that at least 55% of the assets that we own on an unconsolidated basis consist of qualifying mortgages and other liens and interests in real estate, which are collectively referred to as “qualifying real estate assets,” and so that at least 80% of the assets we own on an unconsolidated basis consist of real estate-related assets (including our qualifying real estate assets). We treat Fannie Mae, Freddie Mac and Ginnie Mae whole-pool residential mortgage PT securities issued with respect to an underlying pool of mortgage loans in which we hold all of the certificates issued by the pool as qualifying real estate assets based on no-action letters issued by the SEC. To the extent that the SEC publishes new or different guidance with respect to these matters, we may fail to qualify for this exemption.</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we fail to qualify for this exemption and for any other exemption, we could be required to restructure our activities in a manner that, or at a time when, we would not otherwise choose to do so, which could negatively affect the value of shares of our common stock and our ability to distribute dividends. For example, if the market value of our investments in CMOs or structured Agency MBS, neither of which are qualifying real estate assets for Investment Company Act purposes, were to increase by an amount that resulted in less than 55% of our assets being invested in PT Agency MBS, we might have to sell CMOs or structured Agency MBS in order to maintain our exemption from the Investment Company Act. The sale could occur during adverse market conditions, and we could be forced to accept a price below that which we believe is acceptable.</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Alternatively, if we fail to qualify for this exemption and for any other exemption, we may have to register under the Investment Company Act and we could become subject to substantial regulation with respect to our capital structure (including our ability to use leverage), management, operations, transactions with affiliated persons (as defined in the Investment Company Act), portfolio composition, including restrictions with respect to diversification and industry concentration, and other matters.</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may be required at times to adopt less efficient methods of financing certain of our securities, and we may be precluded from acquiring certain types of higher yielding securities. The net effect of these factors would be to lower our net interest income. If we fail to qualify for an exemption from registration as an investment company or an exclusion from the definition of an investment company, our ability to use leverage would be substantially reduced, and we would not be able to conduct our business as described in this prospectus. Our business will be materially and adversely affected if we fail to qualify for and maintain an exemption from regulation pursuant to the Investment Company Act.</w:t>
      </w:r>
    </w:p>
    <w:p>
      <w:pPr>
        <w:spacing w:after="0" w:line="181" w:lineRule="exact"/>
        <w:rPr>
          <w:sz w:val="20"/>
          <w:szCs w:val="20"/>
          <w:color w:val="auto"/>
        </w:rPr>
      </w:pPr>
    </w:p>
    <w:p>
      <w:pPr>
        <w:ind w:left="340" w:right="380"/>
        <w:spacing w:after="0" w:line="315" w:lineRule="auto"/>
        <w:rPr>
          <w:sz w:val="20"/>
          <w:szCs w:val="20"/>
          <w:color w:val="auto"/>
        </w:rPr>
      </w:pPr>
      <w:r>
        <w:rPr>
          <w:rFonts w:ascii="Times New Roman" w:cs="Times New Roman" w:eastAsia="Times New Roman" w:hAnsi="Times New Roman"/>
          <w:sz w:val="17"/>
          <w:szCs w:val="17"/>
          <w:i w:val="1"/>
          <w:iCs w:val="1"/>
          <w:color w:val="auto"/>
        </w:rPr>
        <w:t>Failure to obtain and maintain an exemption from being regulated as a commodity pool operator could subject us to additional regulation and compliance requirements and may result in fines and other penalties which could materially adversely affect our business and financial condition.</w:t>
      </w:r>
    </w:p>
    <w:p>
      <w:pPr>
        <w:spacing w:after="0" w:line="13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Dodd-Frank Act established a comprehensive regulatory framework for derivative contracts commonly referred to as “swaps.” As a result, any investment fund that trades in swaps may be considered a “commodity pool,” which would cause its operators (in some cases the fund’s directors) to be regulated as “commodity pool operators,” (“CPOs”). Under new rules adopted by the U.S. Commodity Futures Trading Commission, (the “CFTC”), those funds that become commodity pools solely because of their use of swaps must register with the National Futures Association (the “NFA”). Registration requires compliance with the CFTC’s regulations and the NFA’s rules with respect to capital raising, disclosure, reporting, recordkeeping and other business conduct.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use hedging instruments in conjunction with our investment portfolio and related borrowings to reduce or mitigate risks associated with changes in interest rates, mortgage spreads, yield curve shapes and market volatility. These hedging instruments may include interest rate swaps, interest rate futures and options on interest rate futures. We do not currently engage in any speculative derivatives activities or other non-hedging transactions using swaps, futures or options on futures. We do not use these instruments for the purpose of trading in commodity interests, and we do not consider the Company or its operations to be a commodity pool as to which CPO registration or compliance is required. We have received a no-action letter from the CFTC for relief from registration as a commodity pool operator and commodity trading advisor.</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CFTC has substantial enforcement power with respect to violations of the laws over which it has jurisdiction, including their anti-fraud and anti-manipulation provisions. For example, the CFTC may suspend or revoke the registration of or the no-action relief afforded to a person who fails to comply with commodities laws and regulations, prohibit such a person from trading or doing business with registered entities, impose civil money penalties, require restitution and seek fines or imprisonment for criminal violations. In the event that the CFTC asserts that we are not entitled to the no-action letter relief claimed, we may be obligated to furnish additional disclosures and reports, among other things. Further, a private right of action exists against those who violate the laws over which the CFTC has jurisdiction or who willfully aid, abet, counsel, induce or procure a violation of those laws. In the event that we fail to comply with statutory requirements relating to derivatives or with the CFTC’s rules thereunder, including the no-action letter described above, we may be subject to significant fines, penalties and other civil or governmental actions or proceedings, any of which could have a materially adverse effect on our business, financial condition and results of operations.</w:t>
      </w:r>
    </w:p>
    <w:p>
      <w:pPr>
        <w:spacing w:after="0" w:line="186" w:lineRule="exact"/>
        <w:rPr>
          <w:sz w:val="20"/>
          <w:szCs w:val="20"/>
          <w:color w:val="auto"/>
        </w:rPr>
      </w:pPr>
    </w:p>
    <w:p>
      <w:pPr>
        <w:ind w:left="340" w:right="40"/>
        <w:spacing w:after="0" w:line="267" w:lineRule="auto"/>
        <w:rPr>
          <w:sz w:val="20"/>
          <w:szCs w:val="20"/>
          <w:color w:val="auto"/>
        </w:rPr>
      </w:pPr>
      <w:r>
        <w:rPr>
          <w:rFonts w:ascii="Times New Roman" w:cs="Times New Roman" w:eastAsia="Times New Roman" w:hAnsi="Times New Roman"/>
          <w:sz w:val="18"/>
          <w:szCs w:val="18"/>
          <w:i w:val="1"/>
          <w:iCs w:val="1"/>
          <w:color w:val="auto"/>
        </w:rPr>
        <w:t>Our Rights Plan could prevent a change in our control that would otherwise be favorable to our stockholders; however, if it fails to prevent a change in our control, we may lose all or most of the anticipated tax benefits associated with our prior losses, which [could/would] materially adversely affect our financial condition.</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Rights Agreement (as amended, the “Rights Plan”) in an effort to protect against a possible limitation on our ability to use our NOLs and net capital loss carryovers (“NCLs”) by discouraging investors from aggregating ownership of our Class A Common Stock and triggering an “ownership change” for purposes of Sections 382 and 383 of the Code. Under the terms of the Rights Plan, in general, if a person or group acquires ownership of 4.9% or more of the outstanding shares of our Class A Common Stock without the consent of our Board of Directors (an “Acquiring Person”), all of our other stockholders will have the right to purchase securities from us at a discount to such securities’ fair market value, thus causing substantial dilution to the Acquiring Person. As a result, the Rights Plan may have the effect of preventing or impeding a change in control not approved by our Board of Directors and, notwithstanding its purpose, could adversely affect our stockholders’ ability to realize a premium over the then-prevailing market price for our common stock in connection with such a transaction. In addition, because our Board of Directors may consent to certain transactions, the Rights Plan gives our Board of Directors significant discretion over whether a potential acquirer’s efforts to acquire a large interest in us will be successful.</w:t>
      </w:r>
    </w:p>
    <w:p>
      <w:pPr>
        <w:spacing w:after="0" w:line="19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adopted a first amendment to the Rights Plan in December 2025. The Company plans to submit the amendment for stockholder approval at the Company’s 2026 annual meeting of stockholders. The failure to obtain such approval will result in automatic termination of the Rights Plan on June 30, 2026. There can be no assurance that the Rights Plan will prevent an “ownership change” within the meaning of Sections 382 and 383 of the Code, especially if the Rights Plan were to terminate, in which case we may lose all or most of the anticipated tax benefits associated with our prior losses, which [could/would] materially adversely affect our financial condition.</w:t>
      </w:r>
    </w:p>
    <w:p>
      <w:pPr>
        <w:spacing w:after="0" w:line="181"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Certain provisions of applicable law and our charter and bylaws may restrict business combination opportunities that would otherwise be favorable to our stockholders.</w:t>
      </w:r>
    </w:p>
    <w:p>
      <w:pPr>
        <w:spacing w:after="0" w:line="160" w:lineRule="exact"/>
        <w:rPr>
          <w:sz w:val="20"/>
          <w:szCs w:val="20"/>
          <w:color w:val="auto"/>
        </w:rPr>
      </w:pPr>
    </w:p>
    <w:p>
      <w:pPr>
        <w:ind w:right="520" w:firstLine="324"/>
        <w:spacing w:after="0" w:line="261" w:lineRule="auto"/>
        <w:rPr>
          <w:sz w:val="20"/>
          <w:szCs w:val="20"/>
          <w:color w:val="auto"/>
        </w:rPr>
      </w:pPr>
      <w:r>
        <w:rPr>
          <w:rFonts w:ascii="Times New Roman" w:cs="Times New Roman" w:eastAsia="Times New Roman" w:hAnsi="Times New Roman"/>
          <w:sz w:val="18"/>
          <w:szCs w:val="18"/>
          <w:color w:val="auto"/>
        </w:rPr>
        <w:t>Our charter and bylaws and Maryland law contain provisions that may delay, defer or prevent a change in control or other transaction that might involve a premium price for our common stock or otherwise be in the best interests of our stockholders, including; business combination</w:t>
      </w:r>
    </w:p>
    <w:p>
      <w:pPr>
        <w:ind w:right="100"/>
        <w:spacing w:after="0" w:line="252" w:lineRule="auto"/>
        <w:rPr>
          <w:sz w:val="20"/>
          <w:szCs w:val="20"/>
          <w:color w:val="auto"/>
        </w:rPr>
      </w:pPr>
      <w:r>
        <w:rPr>
          <w:rFonts w:ascii="Times New Roman" w:cs="Times New Roman" w:eastAsia="Times New Roman" w:hAnsi="Times New Roman"/>
          <w:sz w:val="18"/>
          <w:szCs w:val="18"/>
          <w:color w:val="auto"/>
        </w:rPr>
        <w:t>provisions; supermajority vote and cause requirements for removal of directors; provisions that vacancies on our Board of Directors may be filled only by the remaining directors, for the full term of the directorship in which the vacancy occurred; the power of our Board of Directors to increase or decrease the aggregate number of authorized shares of stock or the number of shares of any class or series of stock; the power of our Board of Directors to cause us to issue additional shares of stock of any class or series and to fix the terms of one or more classes or series of stock without stockholder approval; the restrictions on ownership and transfer of our stock and advance notice requirements for director nominations and stockholder proposals. These provisions could discourage unsolicited acquisition proposals or make it more difficult for a third party to gain control of us, which could adversely affect the market price of our securities.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40" w:right="280"/>
        <w:spacing w:after="0" w:line="284" w:lineRule="auto"/>
        <w:rPr>
          <w:sz w:val="20"/>
          <w:szCs w:val="20"/>
          <w:color w:val="auto"/>
        </w:rPr>
      </w:pPr>
      <w:r>
        <w:rPr>
          <w:rFonts w:ascii="Times New Roman" w:cs="Times New Roman" w:eastAsia="Times New Roman" w:hAnsi="Times New Roman"/>
          <w:sz w:val="18"/>
          <w:szCs w:val="18"/>
          <w:i w:val="1"/>
          <w:iCs w:val="1"/>
          <w:color w:val="auto"/>
        </w:rPr>
        <w:t>The Company's rights and the rights of our stockholders to take action and recover against our directors and officers are limited, which could limit your recourse in the event of actions that may be considered to be not in your best interests.</w:t>
      </w:r>
    </w:p>
    <w:p>
      <w:pPr>
        <w:spacing w:after="0" w:line="160"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Our charter limits the liability of our directors and officers to the Company and our stockholders for money damages, except for liability resulting from:</w:t>
      </w:r>
    </w:p>
    <w:p>
      <w:pPr>
        <w:spacing w:after="0" w:line="162"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receipt of an improper benefit or profit in money, property or services; or</w:t>
      </w:r>
    </w:p>
    <w:p>
      <w:pPr>
        <w:spacing w:after="0" w:line="27" w:lineRule="exact"/>
        <w:rPr>
          <w:rFonts w:ascii="Times New Roman" w:cs="Times New Roman" w:eastAsia="Times New Roman" w:hAnsi="Times New Roman"/>
          <w:sz w:val="18"/>
          <w:szCs w:val="18"/>
          <w:color w:val="auto"/>
        </w:rPr>
      </w:pPr>
    </w:p>
    <w:p>
      <w:pPr>
        <w:ind w:left="980" w:right="320" w:hanging="324"/>
        <w:spacing w:after="0" w:line="26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based upon a finding of active and deliberate dishonesty by the director or officer that was material to the cause of action adjudicated.</w:t>
      </w:r>
    </w:p>
    <w:p>
      <w:pPr>
        <w:spacing w:after="0" w:line="18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our directors and executive officers that obligate the Company to indemnify them to the maximum extent permitted by Maryland law. In addition, our charter authorizes the Company to obligate itself to indemnify our present and former directors and officers for actions taken by them in those and other capacities to the maximum extent permitted by Maryland law. The Company's bylaws require us, to the maximum extent permitted by Maryland law, to indemnify each present and former director or officer in the defense of any proceeding to which he or she is made, or threatened to be made, a party by reason of his or her service to us. In addition, we may be obligated to advance the defense costs incurred by our directors and officers. As a result, the Company and our stockholders may have more limited rights against our directors and officers than might otherwise exist absent the provisions in our charter, bylaws and indemnification agreements or that might exist with other companies.</w:t>
      </w:r>
    </w:p>
    <w:p>
      <w:pPr>
        <w:spacing w:after="0" w:line="18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U.S. Federal Income Tax Risks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 investment in our common stock has various income tax risks.</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This summary is limited to the U.S. federal income tax risks addressed below. Additional risks or issues may exist that are not addressed in this Form 10-K and that could affect the U.S. federal and state income tax treatment of us or our stockholders. This summary is not intended to be used and cannot be used by any stockholder to avoid penalties that may be imposed on stockholders under the Code. Management strongly urges stockholders to seek advice based on their particular circumstances from their tax advisor concerning the effects of federal, state and local income tax law on an investment in our common stock.</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ability to use NOLs and NCLs to reduce our taxable income may be limited.</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must have taxable income or net capital gains to benefit from our NOLs and NCLs, as well as certain other tax attributes. Although we believe that a significant portion of our NOLs will be available to use to offset the future taxable income of Bimini Capital and Royal Palm, no assurance can be provided that we will have taxable income or gains in the future to apply against our remaining NOLs and NCLs.</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our NOLs and NCLs may be limited by Sections 382 and 383 of the Code if we undergo an “ownership change.” Generally, an “ownership change” occurs if certain persons or groups increase their aggregate ownership in our company by more than 50 percentage points looking back over the relevant testing period. If an ownership change occurs, our ability to use our NOLs and NCLs to reduce our taxable income in a future year would be limited to a Section 382 limitation equal to the fair market value of our stock immediately prior to the ownership change multiplied by the long-term tax-exempt interest rate in effect for the month of the ownership change. In the event of an ownership change, NOLs and NCLs that exceed the Section 382 limitation in any year will continue to be allowed as carryforwards for the remainder of the carryforward period and such losses can be used to offset taxable income for years within the carryforward period subject to the Section 382 limitation in each year. However, if the carryforward period for any NOL or NCL were to expire before that loss had been fully utilized, the unused portion of that loss would be lost. The carryforward period for NOLs incurred through 2017 is 20 years from the year in which the losses giving rise to the NOLs were incurred, and the carryforward period for NCL is five years from the year in which the losses giving rise to the NCL were incurred. Our use of new NOLs or NCLs arising after the date of an ownership change would not be affected by the Section 382 limitation (unless there were another ownership change after those new losses arose).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our knowledge of our stock ownership, we do not believe that an ownership change has occurred since our losses were</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generated. Accordingly, we believe that at the current time there is no limitation imposed by the application of Section 382 on our use of NOLs or NCLs. However, for post-2017 losses, the Jobs and Tax Cuts Act of 2017 modified the general rule such that a net operating loss can only offset 80 percent of taxable income in the year it is utilized, so our post-2017 NOLs are limited by this tax law change. The rules for pre-2017 NOLs remain unchanged, and are 100% available to offset taxable income. In addition, post-2017 NOLs can now be carried forward indefinitely instead of being limited to 20 years for pre-2017 NOLs. The determination of whether an ownership change has occurred or will occur is complicated and depends on changes in percentage stock ownership among stockholders. We adopted the Rights Plan described above in order to discourage or prevent an ownership change. However, there can be no assurance that the Rights Plan will prevent an ownership change. In addition, we have not obtained, and currently do not plan to obtain, a ruling from the Internal Revenue Service, or IRS, regarding our conclusion as to whether our losses are subject to any such limitations. Furthermore, we may decide in the future that it is necessary or in our interest to take certain actions that could result in an ownership change. Therefore, no assurance can be provided as to whether an ownership change has occurred or will occur in the future.</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Preserving the ability to use our NOLs and NCLs may cause us to forgo otherwise attractive opportunities.</w:t>
      </w:r>
    </w:p>
    <w:p>
      <w:pPr>
        <w:spacing w:after="0" w:line="22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Limitations imposed by Sections 382 and 383 of the Internal Revenue Code may discourage us from, among other things, redeeming our stock or issuing additional stock to raise capital or to acquire businesses or assets. Accordingly, our desire to preserve our NOLs and NCLs may cause us to forgo otherwise attractive opportunities, which could materially adversely impact our business, financial condition, and results of operations.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Changes in tax laws could adversely affect our future results.</w:t>
      </w:r>
    </w:p>
    <w:p>
      <w:pPr>
        <w:spacing w:after="0" w:line="22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We have recorded a net deferred tax asset in the consolidated balance sheet based on the differences between the financial statement and income tax bases of assets using enacted tax rates. When U.S. corporate income tax rates change, we are required to reevaluate our deferred tax assets using the new tax rate. Changes in enacted tax rates require an adjustment to the carrying value of our deferred tax assets with a corresponding charge or benefit to earnings in the period of the tax rate change. Based on the size of our deferred tax assets, any such adjustment could be significant.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Conflicts of Interest in Our Relationship with Orchid</w:t>
      </w:r>
    </w:p>
    <w:p>
      <w:pPr>
        <w:spacing w:after="0" w:line="227" w:lineRule="exact"/>
        <w:rPr>
          <w:sz w:val="20"/>
          <w:szCs w:val="20"/>
          <w:color w:val="auto"/>
        </w:rPr>
      </w:pPr>
    </w:p>
    <w:p>
      <w:pPr>
        <w:ind w:left="340" w:right="80"/>
        <w:spacing w:after="0" w:line="284" w:lineRule="auto"/>
        <w:rPr>
          <w:sz w:val="20"/>
          <w:szCs w:val="20"/>
          <w:color w:val="auto"/>
        </w:rPr>
      </w:pPr>
      <w:r>
        <w:rPr>
          <w:rFonts w:ascii="Times New Roman" w:cs="Times New Roman" w:eastAsia="Times New Roman" w:hAnsi="Times New Roman"/>
          <w:sz w:val="18"/>
          <w:szCs w:val="18"/>
          <w:i w:val="1"/>
          <w:iCs w:val="1"/>
          <w:color w:val="auto"/>
        </w:rPr>
        <w:t>Royal Palm and Orchid may compete for opportunities to acquire assets, which are allocated in accordance with the Investment Allocation Agreement by and among Orchid and Bimini Advisors.</w:t>
      </w:r>
    </w:p>
    <w:p>
      <w:pPr>
        <w:spacing w:after="0" w:line="16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seek to purchase for Royal Palm the same or similar assets that we seek to purchase for Orchid. In such an instance, we may allocate such opportunities in a manner that preferentially favors Orchid. We will make available to either Royal Palm or Orchid opportunities to acquire assets that we determine, in our reasonable and good faith judgment, based on the objectives, policies and strategies, and other relevant factors, are appropriate for either entity in accordance with the Investment Allocation Agreement among Bimini Capital, Orchid and Bimini Advisors.</w:t>
      </w:r>
    </w:p>
    <w:p>
      <w:pPr>
        <w:spacing w:after="0" w:line="18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Because many of Royal Palm’s targeted assets are typically available only in specified quantities and because many of our targeted assets are also targeted assets for Orchid, we may not be able to buy as much of any given asset as required to satisfy the needs of both Royal Palm and Orchid. In these cases, the Investment Allocation Agreement will require the allocation of such assets to both accounts in proportion to their needs and available capital. The Investment Allocation Agreement will permit departure from such proportional allocation when (i) allocating purchases of whole-pool Agency MBS, because those securities cannot be divided into multiple parts to be allocated among various accounts, and (ii) such allocation would result in an inefficiently small amount of the security being purchased for an account. In that case, the Investment Allocation Agreement allows for a protocol of allocating assets so that, on an overall basis, each account is treated equitably.</w:t>
      </w:r>
    </w:p>
    <w:p>
      <w:pPr>
        <w:spacing w:after="0" w:line="187" w:lineRule="exact"/>
        <w:rPr>
          <w:sz w:val="20"/>
          <w:szCs w:val="20"/>
          <w:color w:val="auto"/>
        </w:rPr>
      </w:pPr>
    </w:p>
    <w:p>
      <w:pPr>
        <w:ind w:left="340" w:right="60"/>
        <w:spacing w:after="0" w:line="284" w:lineRule="auto"/>
        <w:rPr>
          <w:sz w:val="20"/>
          <w:szCs w:val="20"/>
          <w:color w:val="auto"/>
        </w:rPr>
      </w:pPr>
      <w:r>
        <w:rPr>
          <w:rFonts w:ascii="Times New Roman" w:cs="Times New Roman" w:eastAsia="Times New Roman" w:hAnsi="Times New Roman"/>
          <w:sz w:val="18"/>
          <w:szCs w:val="18"/>
          <w:i w:val="1"/>
          <w:iCs w:val="1"/>
          <w:color w:val="auto"/>
        </w:rPr>
        <w:t>There are conflicts of interest in our relationships with Orchid, which could result in decisions that may be considered as being not in the best interests of Bimini Capital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stockholders.</w:t>
      </w:r>
    </w:p>
    <w:p>
      <w:pPr>
        <w:spacing w:after="0" w:line="16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Mr. Cauley, our Chief Executive Officer and Chairman of our Board of Directors, also serves as Chief Executive Officer and Chairman of the Board of Directors of Orchid. Mr. Haas, our Chief Financial Officer, Chief Investment Officer and President, is a member of the Board of Directors of Orchid, and serves as the Chief Financial Officer, Chief Investment Officer and Treasurer of Orchid. Messrs. Cauley and Haas, as well as Mr. Robert Dwyer, an independent member of our Board of Directors, own shares of common stock of Orchid at the time of this filing and may continue to own shares in the future. Accordingly, Messrs. Cauley, Haas, and Dwyer have a conflict of interest with respect to actions by Bimini Capital or Bimini Advisors that relate to Orchid as its Manager.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As such, we are subject to conflicts of interest arising out of Bimini Advisors’ role as Manager of Orchid and all of our executive officers have conflicts between their duties to Bimini Capital and their duties to Orchid as its Manager.</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Bimini Capital may acquire or sell assets in which Orchid may have an interest. Similarly, Orchid may acquire or sell assets in which Bimini Capital has or may have an interest. Although such acquisitions or dispositions may present conflicts of interest, we nonetheless may pursue and consummate such transactions. Additionally, Bimini Capital may engage in transactions directly with Orchid, including the purchase and sale of all or a portion of a portfolio asset.</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officers devote as much time to Bimini Capital and to Orchid as they deem appropriate. However, these officers may have conflicts in allocating their time and services among Bimini Capital and Orchid. During turbulent conditions in the mortgage industry, distress in the credit markets or other times when we will need focused support and assistance from employees, Orchid and other entities for which we may act as manager in the future will likewise require greater focus and attention, placing personnel resources in high demand. In such situations, Bimini Capital may not receive the necessary support and assistance it requires or would otherwise receive if it were not acting as manager of one or more other entities.</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continue to hold an investment in the common stock of Orchid. In evaluating opportunities for ourselves and Orchid, this may lead us to emphasize certain asset acquisition, disposition or management objectives over others, such as balancing risk or capital preservation objectives against return objectives. This could increase the risks or decrease the returns of your investment in our common stock.</w:t>
      </w:r>
    </w:p>
    <w:p>
      <w:pPr>
        <w:spacing w:after="0" w:line="17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in our common stock may involve a high degree of risk.</w:t>
      </w:r>
    </w:p>
    <w:p>
      <w:pPr>
        <w:spacing w:after="0" w:line="22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objectives may result in a high amount of risk when compared to alternative investment options and volatility or loss of principal. Our investments may be highly speculative and aggressive, and therefore an investment in our common stock may not be suitable for someone with lower risk tolerance.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There is a limited market for our Class A Common Stock.</w:t>
      </w:r>
    </w:p>
    <w:p>
      <w:pPr>
        <w:spacing w:after="0" w:line="22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Our Class A Common Stock trades on the OTCQX under the symbol “BMNM”. We may apply to list our Class A Common Stock on a national securities market if, in the future, we qualify for such a listing. However, even if listed on a national securities market, the ability to buy and sell our Class A Common Stock may be limited due to our small public float, and significant sales may depress or result in a decline in the market price of our Class A Common Stock. Additionally, until such time that our Class A Common Stock is approved for listing on a national securities market, our ability to raise capital through the sale of additional securities may be limited. Accordingly, no assurance can be given as to:</w:t>
      </w:r>
    </w:p>
    <w:p>
      <w:pPr>
        <w:spacing w:after="0" w:line="183"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an actual market for our common stock will develop, or be continued once developed;</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any such market;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any holder to sell shares of our common stock;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that may be obtained for our common stock.</w:t>
      </w:r>
    </w:p>
    <w:p>
      <w:pPr>
        <w:spacing w:after="0" w:line="205" w:lineRule="exact"/>
        <w:rPr>
          <w:sz w:val="20"/>
          <w:szCs w:val="20"/>
          <w:color w:val="auto"/>
        </w:rPr>
      </w:pPr>
    </w:p>
    <w:p>
      <w:pPr>
        <w:ind w:left="340" w:right="140"/>
        <w:spacing w:after="0" w:line="284" w:lineRule="auto"/>
        <w:rPr>
          <w:sz w:val="20"/>
          <w:szCs w:val="20"/>
          <w:color w:val="auto"/>
        </w:rPr>
      </w:pPr>
      <w:r>
        <w:rPr>
          <w:rFonts w:ascii="Times New Roman" w:cs="Times New Roman" w:eastAsia="Times New Roman" w:hAnsi="Times New Roman"/>
          <w:sz w:val="18"/>
          <w:szCs w:val="18"/>
          <w:i w:val="1"/>
          <w:iCs w:val="1"/>
          <w:color w:val="auto"/>
        </w:rPr>
        <w:t>Future offerings of debt securities, which would be senior to our common stock upon liquidation, or equity securities, which would dilute our existing stockholders and may be senior to our common stock for the purposes of distributions, may harm the value of our common stock.</w:t>
      </w:r>
    </w:p>
    <w:p>
      <w:pPr>
        <w:spacing w:after="0" w:line="16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the future, we may attempt to increase our capital resources by making additional offerings of debt or equity securities, including commercial paper, medium-term notes, senior or subordinated notes and classes of preferred stock or common stock, as well as warrants to purchase shares of common stock or convertible preferred stock. Upon the liquidation of the Company, holders of our debt securities and shares of preferred stock and lenders with respect to other borrowings will receive a distribution of our available assets prior to the holders of our common stock. Additional equity offerings by us may dilute the holdings of our existing stockholders or reduce the market value of our common stock, or both. Furthermore, our Board of Directors may, without stockholder approval, amend our charter to increase the aggregate number of shares or the number of shares of any class or series that we have the authority to issue, and to classify or reclassify any unissued shares of common stock or preferred stock. Because our decision to issue securities in any future offering will depend on market conditions and other factors beyond our control, we cannot predict or estimate the amount, timing or nature of our future securities offerings. Our stockholders are therefore subject to the risk of our future securities offerings reducing the market price of our common stock and diluting their common stock.</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left="140" w:right="40" w:firstLine="486"/>
        <w:spacing w:after="0" w:line="255" w:lineRule="auto"/>
        <w:rPr>
          <w:sz w:val="20"/>
          <w:szCs w:val="20"/>
          <w:color w:val="auto"/>
        </w:rPr>
      </w:pPr>
      <w:r>
        <w:rPr>
          <w:rFonts w:ascii="Times New Roman" w:cs="Times New Roman" w:eastAsia="Times New Roman" w:hAnsi="Times New Roman"/>
          <w:sz w:val="18"/>
          <w:szCs w:val="18"/>
          <w:color w:val="auto"/>
        </w:rPr>
        <w:t>The Board plays an active role in overseeing management of our risks, and cybersecurity represents an important component of the Company’s overall approach to risk management and oversight. Our cybersecurity processes and practices are integrated into the Company’s risk management and oversight program. In general, the Company seeks to address cybersecurity risks through a comprehensive, cross-functional approach that is focused on preserving the confidentiality, security and availability of the information that the Company collects and stores by identifying, preventing and mitigating cybersecurity threats and effectively responding to cybersecurity incidents when they occur. The Company has adopted a cybersecurity incident response plan to enable rapid response, curtail further security breaches, mitigate and manage costs, and facilitate timely disclosure of material cyber incidents as required by the SEC.</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left="140" w:right="80" w:firstLine="486"/>
        <w:spacing w:after="0" w:line="277" w:lineRule="auto"/>
        <w:rPr>
          <w:sz w:val="20"/>
          <w:szCs w:val="20"/>
          <w:color w:val="auto"/>
        </w:rPr>
      </w:pPr>
      <w:r>
        <w:rPr>
          <w:rFonts w:ascii="Times New Roman" w:cs="Times New Roman" w:eastAsia="Times New Roman" w:hAnsi="Times New Roman"/>
          <w:sz w:val="17"/>
          <w:szCs w:val="17"/>
          <w:color w:val="auto"/>
        </w:rPr>
        <w:t>The Company and our Board place a high priority on maintaining security over our financial information that can be accessed via the Internet and mitigating information security risks. The Company engages a third-party security firm to provide threat detection and reports, conduct annual testing of our systems, train our employees and generally advise on cybersecurity processes. At least annually, our information technology team makes a formal presentation to our Audit Committee and the Board to keep them apprised of the level of cybersecurity that exists to protect our financial information, training of the Company’s officers and employees, and the latest threats that have emerged, including a presentation from the third-party security firm.</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Company’s cybersecurity program is focused on the following key areas:</w:t>
      </w:r>
    </w:p>
    <w:p>
      <w:pPr>
        <w:spacing w:after="0" w:line="223" w:lineRule="exact"/>
        <w:rPr>
          <w:sz w:val="20"/>
          <w:szCs w:val="20"/>
          <w:color w:val="auto"/>
        </w:rPr>
      </w:pPr>
    </w:p>
    <w:p>
      <w:pPr>
        <w:ind w:left="360" w:right="220" w:hanging="163"/>
        <w:spacing w:after="0" w:line="315" w:lineRule="auto"/>
        <w:tabs>
          <w:tab w:leader="none" w:pos="3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Governance</w:t>
      </w:r>
      <w:r>
        <w:rPr>
          <w:rFonts w:ascii="Times New Roman" w:cs="Times New Roman" w:eastAsia="Times New Roman" w:hAnsi="Times New Roman"/>
          <w:sz w:val="17"/>
          <w:szCs w:val="17"/>
          <w:color w:val="auto"/>
        </w:rPr>
        <w:t>: As discussed in more detail under “Item 1C. Cybersecurity—Governance,” the Audit Committee and the Board oversee cybersecurity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risk management by regularly interacting with the Company’s management team, our information technology team and a third-party security firm.</w:t>
      </w:r>
    </w:p>
    <w:p>
      <w:pPr>
        <w:spacing w:after="0" w:line="134" w:lineRule="exact"/>
        <w:rPr>
          <w:rFonts w:ascii="Times New Roman" w:cs="Times New Roman" w:eastAsia="Times New Roman" w:hAnsi="Times New Roman"/>
          <w:sz w:val="17"/>
          <w:szCs w:val="17"/>
          <w:color w:val="auto"/>
        </w:rPr>
      </w:pPr>
    </w:p>
    <w:p>
      <w:pPr>
        <w:ind w:left="380" w:right="200" w:hanging="170"/>
        <w:spacing w:after="0" w:line="290" w:lineRule="auto"/>
        <w:tabs>
          <w:tab w:leader="none" w:pos="38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Collaborative Approach</w:t>
      </w:r>
      <w:r>
        <w:rPr>
          <w:rFonts w:ascii="Times New Roman" w:cs="Times New Roman" w:eastAsia="Times New Roman" w:hAnsi="Times New Roman"/>
          <w:sz w:val="17"/>
          <w:szCs w:val="17"/>
          <w:color w:val="auto"/>
        </w:rPr>
        <w:t>: The Company has implemented a comprehensive, cross-functional approach to identifying, preventing and mitigating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spacing w:after="0" w:line="155" w:lineRule="exact"/>
        <w:rPr>
          <w:rFonts w:ascii="Times New Roman" w:cs="Times New Roman" w:eastAsia="Times New Roman" w:hAnsi="Times New Roman"/>
          <w:sz w:val="17"/>
          <w:szCs w:val="17"/>
          <w:color w:val="auto"/>
        </w:rPr>
      </w:pPr>
    </w:p>
    <w:p>
      <w:pPr>
        <w:ind w:left="380" w:hanging="170"/>
        <w:spacing w:after="0" w:line="261" w:lineRule="auto"/>
        <w:tabs>
          <w:tab w:leader="none" w:pos="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Technical Safeguards</w:t>
      </w:r>
      <w:r>
        <w:rPr>
          <w:rFonts w:ascii="Times New Roman" w:cs="Times New Roman" w:eastAsia="Times New Roman" w:hAnsi="Times New Roman"/>
          <w:sz w:val="18"/>
          <w:szCs w:val="18"/>
          <w:color w:val="auto"/>
        </w:rPr>
        <w:t>: The Company deploys technical safeguards that are designed to protect information systems from cybersecurity threats,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firewalls, intrusion prevention and detection systems, redundant data storage and retention methods, anti-malware functionality and access controls, which are evaluated and improved through vulnerability and exposure assessments and cybersecurity threat intelligence. With the help of our third-party security firm, the Company has implemented several layers of physical security, digital security and data backup.</w:t>
      </w:r>
    </w:p>
    <w:p>
      <w:pPr>
        <w:spacing w:after="0" w:line="179" w:lineRule="exact"/>
        <w:rPr>
          <w:rFonts w:ascii="Times New Roman" w:cs="Times New Roman" w:eastAsia="Times New Roman" w:hAnsi="Times New Roman"/>
          <w:sz w:val="18"/>
          <w:szCs w:val="18"/>
          <w:color w:val="auto"/>
        </w:rPr>
      </w:pPr>
    </w:p>
    <w:p>
      <w:pPr>
        <w:ind w:left="380" w:right="320" w:hanging="170"/>
        <w:spacing w:after="0" w:line="284" w:lineRule="auto"/>
        <w:tabs>
          <w:tab w:leader="none" w:pos="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Incident Response and Recovery Planning</w:t>
      </w:r>
      <w:r>
        <w:rPr>
          <w:rFonts w:ascii="Times New Roman" w:cs="Times New Roman" w:eastAsia="Times New Roman" w:hAnsi="Times New Roman"/>
          <w:sz w:val="18"/>
          <w:szCs w:val="18"/>
          <w:color w:val="auto"/>
        </w:rPr>
        <w:t>: The Company has established a comprehensive incident response and recovery plan that addresses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response to a cybersecurity incident and plans to test and evaluate that plan on a regular basis.</w:t>
      </w:r>
    </w:p>
    <w:p>
      <w:pPr>
        <w:spacing w:after="0" w:line="158" w:lineRule="exact"/>
        <w:rPr>
          <w:rFonts w:ascii="Times New Roman" w:cs="Times New Roman" w:eastAsia="Times New Roman" w:hAnsi="Times New Roman"/>
          <w:sz w:val="18"/>
          <w:szCs w:val="18"/>
          <w:color w:val="auto"/>
        </w:rPr>
      </w:pPr>
    </w:p>
    <w:p>
      <w:pPr>
        <w:ind w:left="380" w:right="20" w:hanging="170"/>
        <w:spacing w:after="0" w:line="267" w:lineRule="auto"/>
        <w:tabs>
          <w:tab w:leader="none" w:pos="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Third-Party Risk Management: </w:t>
      </w:r>
      <w:r>
        <w:rPr>
          <w:rFonts w:ascii="Times New Roman" w:cs="Times New Roman" w:eastAsia="Times New Roman" w:hAnsi="Times New Roman"/>
          <w:sz w:val="18"/>
          <w:szCs w:val="18"/>
          <w:color w:val="auto"/>
        </w:rPr>
        <w:t>The Company maintains a comprehensive, risk-based approach to identifying and overseeing cybersecurity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by third parties, including counterparties, service providers or other external users of our systems, as well as the systems of third parties that could adversely impact the Company’s business in the event of a cybersecurity incident affecting those third-party systems.</w:t>
      </w:r>
    </w:p>
    <w:p>
      <w:pPr>
        <w:spacing w:after="0" w:line="173" w:lineRule="exact"/>
        <w:rPr>
          <w:rFonts w:ascii="Times New Roman" w:cs="Times New Roman" w:eastAsia="Times New Roman" w:hAnsi="Times New Roman"/>
          <w:sz w:val="18"/>
          <w:szCs w:val="18"/>
          <w:color w:val="auto"/>
        </w:rPr>
      </w:pPr>
    </w:p>
    <w:p>
      <w:pPr>
        <w:ind w:left="380" w:right="60" w:hanging="170"/>
        <w:spacing w:after="0" w:line="258" w:lineRule="auto"/>
        <w:tabs>
          <w:tab w:leader="none" w:pos="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Education and Awareness</w:t>
      </w:r>
      <w:r>
        <w:rPr>
          <w:rFonts w:ascii="Times New Roman" w:cs="Times New Roman" w:eastAsia="Times New Roman" w:hAnsi="Times New Roman"/>
          <w:sz w:val="18"/>
          <w:szCs w:val="18"/>
          <w:color w:val="auto"/>
        </w:rPr>
        <w:t>: A third-party security firm provides training to our employees, helping our information technology team to maintain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state-of-the-art cybersecurity system and staying up to date on the latest threats and counter measures available. The third-party security firm places a high priority on employee threat education through automated internal phishing tests. Our information technology team attends continuing education seminars and receives timely alerts to any new viruses or cyber threats as they occur as a means to equip personnel with effective tools to address cybersecurity threats, and to communicate evolving information security policies, standards, processes and practices.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 w:lineRule="exact"/>
        <w:rPr>
          <w:sz w:val="20"/>
          <w:szCs w:val="20"/>
          <w:color w:val="auto"/>
        </w:rPr>
      </w:pPr>
    </w:p>
    <w:p>
      <w:pPr>
        <w:ind w:right="40" w:firstLine="108"/>
        <w:spacing w:after="0" w:line="232" w:lineRule="auto"/>
        <w:rPr>
          <w:sz w:val="20"/>
          <w:szCs w:val="20"/>
          <w:color w:val="auto"/>
        </w:rPr>
      </w:pPr>
      <w:r>
        <w:rPr>
          <w:rFonts w:ascii="Times New Roman" w:cs="Times New Roman" w:eastAsia="Times New Roman" w:hAnsi="Times New Roman"/>
          <w:sz w:val="22"/>
          <w:szCs w:val="22"/>
          <w:color w:val="auto"/>
        </w:rPr>
        <w:t>Cybersecurity threats, including as a result of any previous cybersecurity incidents, have not materially affected and are not reasonably likely to affect the Company, including its business strategy, results of operations or financial condition. The Company is not aware of any material security breach to date. Accordingly, the Company has not incurred any expenses over the last three years on information security breaches. However, the Company faces certain ongoing risks from cybersecurity that, if realized, could materially affect the Company. See “Item 1A. Risk Factors - The occurrence of cyber-incidents, or a deficiency in our cybersecurity or in those of any of our third party service providers could negatively impact our business by causing a disruption to our operations, a compromise or corruption of our confidential information or damage to our business relationships or reputation, all of which could negatively impact our business and results of operations.” There can be no assurance that the Company's cybersecurity risk management program and processes, including its policies, controls or procedures, will be fully implemented, complied with or effective in protecting its systems and information.</w:t>
      </w:r>
    </w:p>
    <w:p>
      <w:pPr>
        <w:spacing w:after="0" w:line="200" w:lineRule="exact"/>
        <w:rPr>
          <w:sz w:val="20"/>
          <w:szCs w:val="20"/>
          <w:color w:val="auto"/>
        </w:rPr>
      </w:pP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left="140" w:firstLine="486"/>
        <w:spacing w:after="0" w:line="253" w:lineRule="auto"/>
        <w:rPr>
          <w:sz w:val="20"/>
          <w:szCs w:val="20"/>
          <w:color w:val="auto"/>
        </w:rPr>
      </w:pPr>
      <w:r>
        <w:rPr>
          <w:rFonts w:ascii="Times New Roman" w:cs="Times New Roman" w:eastAsia="Times New Roman" w:hAnsi="Times New Roman"/>
          <w:sz w:val="18"/>
          <w:szCs w:val="18"/>
          <w:color w:val="auto"/>
        </w:rPr>
        <w:t>The Company believes oversight of cybersecurity risk is the responsibility of the Audit Committee and the full Board. Accordingly, the Audit Committee and the Board oversee the Company’s cybersecurity risk management process. The Board considers the Company’s cybersecurity posture and risk exposure with management taking into consideration the Company’s operations and the types of data retained on its systems as part of its and the Audit Committee’s periodic review of the Company’s risk management. The Company’s primary business involves investments in Agency MBS, which are securities backed primarily by single-family residential mortgage loans. The Company does not receive personal information on individual mortgage borrowers. The Board reviews the Company’s cybersecurity program and risk exposure with management on at least an annual basis and receives periodic reports from management, the information technology team, and the Company’s third-party security firm on these matters from time to time. The Board may also conduct additional cybersecurity reviews or receive additional updates or reports as it deems necessary. Messrs. Cauley and Haas work collaboratively to implement a program designed to protect our information systems from cybersecurity threats and to promptly respond to any cybersecurity incidents in accordance with the Company’s incident response and recovery plan. These members of the Company’s management team monitor the prevention, detection, mitigation and remediation of cybersecurity threats and incidents and report such threats and incidents to the Board when appropriate. Messrs. Cauley and Haas each hold undergraduate and graduate degrees in their respective fields, and each have over 20 years of experience managing risks at the Company and at similar companies, including risks arising from cybersecurity threats.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executive offices and principal administrative offices are located at 3305 Flamingo Drive, Vero Beach, Florida, 32963, in an office building which Bimini Capital owns. This facility is shared with our subsidiaries and Orchid. This property is suitable and adequate for our business as currently conducted.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April 2020 and November 2021, the Company received demands for payment from Citigroup, Inc. in the total amount of $33.3 million related to the indemnification provisions of various mortgage loan purchase agreements entered into prior to the date Royal Palm’s mortgage origination operations ceased in 2007. The Company believes the demands are without merit and intends to defend against the demands vigorously if pursued by Citigroup. No provision or accrual has been recorded related to the Citigroup demands.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party to any other material pending legal proceedings as described in Item 103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580" w:right="300" w:hanging="575"/>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Class A Common Stock is traded over-the-counter under the symbol “BMNM”. As of March 12, 2026, we had 10,005,457 shares of Class A Common Stock issued and outstanding, which were held by 93 stockholders of record and 685 beneficial owners whose shares were held in “street name” by brokers and depository institutions.</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of March 12, 2026, we had 31,938 shares of Class B Common Stock outstanding, which were held by two holders of record and 31,938 shares of Class C Common Stock outstanding, which were held by one holder of record. There is no established public trading market for our Class B Common Stock or Class C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Distribution Policy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not made a distribution to stockholders since 2011. We do not expect to make distributions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Our charter authorizes us to issue preferred stock that could have a preference over our common stock with respect to distributions. If we were to issue any preferred stock, the distribution preference on the preferred stock could limit our ability to make distributions to the holders of our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12, 2026, the Board authorized a share repurchase plan pursuant to Rule 10b5-1 of the Securities Exchange Act of 1934 (the</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“2026 Repurchase Plan”). Pursuant to the 2026 Repurchase Plan, the Company can purchase shares of its Class A Common Stock from time to time for an aggregate purchase price not to exceed $2.5 million. Share repurchases can be executed through various means, including, without limitation, open market transactions. The 2026 Repurchase Plan does not obligate the Company to purchase any shares. The 2026 Repurchase Plan replaces the Company's prior repurchase plan adopted in 2024, which expired on March 9, 2026.</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repurchase shares of its common stock during the three months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of our consolidated financial condition, cash flows and results of operations should be read in conjunction with the consolidated financial statements and notes to those statements included in Item 8 of this Form 10-K. The discussion may contain certain forward-looking statements that involve risks and uncertainties. As a result of many factors, such as those set forth under “Risk Factors” in this Form 10-K, our actual results may differ materially from those anticipated in such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Affect our Results of Operations and Financial Condition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variety of industry and economic factors may impact our results of operations and financial condition. These factors include:</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trends;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cost of borrowed funds, including changes in the Federal Funds rate that are controlled by the Fed;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Agency MBS yields and our funding and hedging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and supply of, investments in Agency MBS;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U.S. government, including the presidential administration, the Fed, the FOMC, the FHFA and the U.S. Treasury;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rates on mortgages underlying our Agency MBS, and credit trends insofar as they affect prepayment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that affect the U.S. and international economies;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market developments.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a variety of factors relating to our business may also impact our results of operations and financial condition. These factors include:</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leverage to finance our assets;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funding and borrowing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borrowing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hedging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for us to maintain a registration exemption under the Investment Company 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 carryforwards and other tax attributes to reduce our taxable income;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possible future changes in tax laws or tax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portfolio of Orchid and maintain our role as manager;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Orchid and resulting changes in Orchid's stockholders' equity and our advisory services revenue;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our investment in Orchid's common stock and dividend income received on that investment.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below are the Company’s results of operations for the year ended December 31, 2025, as compared to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Summary</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Consolidated net income for the year ended December 31, 2025 was $5.8 million, or $0.58 basic and diluted income per share of Class A Common Stock, as compared to consolidated net loss of $1.3 million, or $0.13 basic and diluted loss per share of Class A Common Stock, for the year ended December 31, 2024.</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components of net income (loss) for the years ended December 31, 2025 and 2024, along with the changes in those components are presented in the table below: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60" w:type="dxa"/>
            <w:vAlign w:val="bottom"/>
            <w:tcBorders>
              <w:top w:val="single" w:sz="8" w:color="auto"/>
              <w:bottom w:val="single" w:sz="8" w:color="auto"/>
            </w:tcBorders>
          </w:tcPr>
          <w:p>
            <w:pPr>
              <w:spacing w:after="0"/>
              <w:rPr>
                <w:sz w:val="17"/>
                <w:szCs w:val="17"/>
                <w:color w:val="auto"/>
              </w:rPr>
            </w:pPr>
          </w:p>
        </w:tc>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Advisory services revenue</w:t>
            </w:r>
          </w:p>
        </w:tc>
        <w:tc>
          <w:tcPr>
            <w:tcW w:w="248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16,575</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12,784</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3,791</w:t>
            </w: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dividend income</w:t>
            </w:r>
          </w:p>
        </w:tc>
        <w:tc>
          <w:tcPr>
            <w:tcW w:w="2480" w:type="dxa"/>
            <w:vAlign w:val="bottom"/>
          </w:tcPr>
          <w:p>
            <w:pPr>
              <w:spacing w:after="0"/>
              <w:rPr>
                <w:sz w:val="17"/>
                <w:szCs w:val="17"/>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7,128</w:t>
            </w:r>
          </w:p>
        </w:tc>
        <w:tc>
          <w:tcPr>
            <w:tcW w:w="4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6,658</w:t>
            </w:r>
          </w:p>
        </w:tc>
        <w:tc>
          <w:tcPr>
            <w:tcW w:w="3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470</w:t>
            </w:r>
          </w:p>
        </w:tc>
      </w:tr>
      <w:tr>
        <w:trPr>
          <w:trHeight w:val="203"/>
        </w:trPr>
        <w:tc>
          <w:tcPr>
            <w:tcW w:w="4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4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(6,812)</w:t>
            </w: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w:t>
            </w: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729</w:t>
            </w:r>
          </w:p>
        </w:tc>
      </w:tr>
      <w:tr>
        <w:trPr>
          <w:trHeight w:val="196"/>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2480" w:type="dxa"/>
            <w:vAlign w:val="bottom"/>
          </w:tcPr>
          <w:p>
            <w:pPr>
              <w:spacing w:after="0"/>
              <w:rPr>
                <w:sz w:val="17"/>
                <w:szCs w:val="17"/>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16,891</w:t>
            </w:r>
          </w:p>
        </w:tc>
        <w:tc>
          <w:tcPr>
            <w:tcW w:w="4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11,901</w:t>
            </w:r>
          </w:p>
        </w:tc>
        <w:tc>
          <w:tcPr>
            <w:tcW w:w="3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4,990</w:t>
            </w: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205</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1,167</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w:t>
            </w:r>
          </w:p>
        </w:tc>
      </w:tr>
      <w:tr>
        <w:trPr>
          <w:trHeight w:val="202"/>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Expenses</w:t>
            </w:r>
          </w:p>
        </w:tc>
        <w:tc>
          <w:tcPr>
            <w:tcW w:w="2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(12,604)</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(11,257)</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w:t>
            </w:r>
          </w:p>
        </w:tc>
      </w:tr>
      <w:tr>
        <w:trPr>
          <w:trHeight w:val="19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before income tax (benefit) provision</w:t>
            </w:r>
          </w:p>
        </w:tc>
        <w:tc>
          <w:tcPr>
            <w:tcW w:w="2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4,492</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1,811</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2,681</w:t>
            </w:r>
          </w:p>
        </w:tc>
      </w:tr>
      <w:tr>
        <w:trPr>
          <w:trHeight w:val="203"/>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2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(1,309)</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3,117</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(4,426)</w:t>
            </w:r>
          </w:p>
        </w:tc>
      </w:tr>
      <w:tr>
        <w:trPr>
          <w:trHeight w:val="236"/>
        </w:trPr>
        <w:tc>
          <w:tcPr>
            <w:tcW w:w="4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8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5,801</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7,107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and Non-GAAP Reconciliation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Interest Expense and Economic Net Interest Income</w:t>
      </w:r>
    </w:p>
    <w:p>
      <w:pPr>
        <w:spacing w:after="0" w:line="22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use derivative instruments, primarily T-Note and SOFR futures contracts to hedge a portion of the interest rate risk on repurchase agreements in a rising rate environment.</w:t>
      </w:r>
    </w:p>
    <w:p>
      <w:pPr>
        <w:spacing w:after="0" w:line="16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have not designated our derivative financial instruments as hedge accounting relationships, but rather hold them for economic hedging purposes. Changes in fair value of these instruments are presented in a separate line item in our consolidated statements of operations and not included in interest expense. As such, for financial reporting purposes, interest expense and cost of funds are not impacted by the fluctuation in value of the derivative instruments.</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For the purpose of computing economic net interest income and ratios relating to cost of funds measures, GAAP interest expense, as reflected in our consolidated statements of operations, is adjusted to reflect the realized and unrealized gains or losses on certain derivative instruments the Company uses that pertain to each period presented. We believe that adjusting our GAAP interest expense for the periods presented by the gains or losses on these derivative instruments may not accurately reflect our economic interest expense for these periods. The reason is that these derivative instruments may cover periods that extend into the future, not just the current period. Any realized or unrealized gains or losses on the derivative instruments reflect the change in market value of the instrument caused by changes in underlying interest rates applicable to the term covered by the instrument, which changes are reflective of the future periods covered by the derivative instrument, not just the current period.</w:t>
      </w:r>
    </w:p>
    <w:p>
      <w:pPr>
        <w:spacing w:after="0" w:line="189"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For each period presented, we have combined the effects of the derivative financial instruments in place for the respective period with the actual interest expense incurred on our borrowings to reflect total economic interest expense for the applicable period. Interest expense, including the effect of derivative instruments for the period, is referred to as economic interest expense. Net interest income, when calculated to include the effect of derivative instruments for the period, is referred to as economic net interest income.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140" w:firstLine="324"/>
        <w:spacing w:after="0" w:line="252" w:lineRule="auto"/>
        <w:rPr>
          <w:sz w:val="20"/>
          <w:szCs w:val="20"/>
          <w:color w:val="auto"/>
        </w:rPr>
      </w:pPr>
      <w:r>
        <w:rPr>
          <w:rFonts w:ascii="Times New Roman" w:cs="Times New Roman" w:eastAsia="Times New Roman" w:hAnsi="Times New Roman"/>
          <w:sz w:val="18"/>
          <w:szCs w:val="18"/>
          <w:color w:val="auto"/>
        </w:rPr>
        <w:t>We believe that economic interest expense and economic net interest income provide meaningful information to consider, in addition to the financial information prepared in accordance with GAAP. The non-GAAP measures help management to evaluate our financial position and performance without the effects of certain transactions and GAAP adjustments that are not necessarily indicative of our current investment portfolio or operations. The gains or losses on derivative instruments presented in our consolidated statements of operations are not necessarily representative of the total interest expense that we will ultimately realize. This is because as interest rates move up or down in the future, the gains or losses we ultimately realize, and which will affect our total interest expense in future periods, may differ from the unrealized gains or losses recognized as of the reporting date.</w:t>
      </w:r>
    </w:p>
    <w:p>
      <w:pPr>
        <w:spacing w:after="0" w:line="190"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Our presentation of the economic value of our hedging strategy has important limitations. First, other market participants may calculate economic interest expense and economic net interest income differently than the way we calculate them. Second, while we believe that the calculation of the economic value of our hedging strategy described above helps to present our financial position and performance, it may be of limited usefulness as an analytical tool. Therefore, the economic value of our investment strategy should not be viewed in isolation and is not a substitute for interest expense and net interest income computed in accordance with GAAP.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tables below present a reconciliation of the adjustments discussed above to interest expense shown for each period relative to our derivative instruments, and the consolidated statements of operations line item, gains (losses) on derivative instruments, calculated in accordance with GAAP for the years ended December 31, 2025 and 2024 and for each quarter during 2025 and 2024.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Gains (Losses) on Derivative Instruments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0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040" w:type="dxa"/>
            <w:vAlign w:val="bottom"/>
            <w:tcBorders>
              <w:top w:val="single" w:sz="8" w:color="auto"/>
              <w:bottom w:val="single" w:sz="8" w:color="auto"/>
            </w:tcBorders>
            <w:gridSpan w:val="3"/>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Funding Hedges</w:t>
            </w:r>
          </w:p>
        </w:tc>
      </w:tr>
      <w:tr>
        <w:trPr>
          <w:trHeight w:val="180"/>
        </w:trPr>
        <w:tc>
          <w:tcPr>
            <w:tcW w:w="39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520" w:type="dxa"/>
            <w:vAlign w:val="bottom"/>
          </w:tcPr>
          <w:p>
            <w:pPr>
              <w:jc w:val="center"/>
              <w:ind w:right="339"/>
              <w:spacing w:after="0" w:line="181"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80" w:type="dxa"/>
            <w:vAlign w:val="bottom"/>
          </w:tcPr>
          <w:p>
            <w:pPr>
              <w:spacing w:after="0"/>
              <w:rPr>
                <w:sz w:val="15"/>
                <w:szCs w:val="15"/>
                <w:color w:val="auto"/>
              </w:rPr>
            </w:pPr>
          </w:p>
        </w:tc>
        <w:tc>
          <w:tcPr>
            <w:tcW w:w="1400" w:type="dxa"/>
            <w:vAlign w:val="bottom"/>
          </w:tcPr>
          <w:p>
            <w:pPr>
              <w:jc w:val="center"/>
              <w:ind w:right="219"/>
              <w:spacing w:after="0" w:line="181" w:lineRule="exact"/>
              <w:rPr>
                <w:sz w:val="20"/>
                <w:szCs w:val="20"/>
                <w:color w:val="auto"/>
              </w:rPr>
            </w:pPr>
            <w:r>
              <w:rPr>
                <w:rFonts w:ascii="Times New Roman" w:cs="Times New Roman" w:eastAsia="Times New Roman" w:hAnsi="Times New Roman"/>
                <w:sz w:val="16"/>
                <w:szCs w:val="16"/>
                <w:b w:val="1"/>
                <w:bCs w:val="1"/>
                <w:color w:val="auto"/>
                <w:w w:val="99"/>
              </w:rPr>
              <w:t>Attributed to</w:t>
            </w:r>
          </w:p>
        </w:tc>
        <w:tc>
          <w:tcPr>
            <w:tcW w:w="260" w:type="dxa"/>
            <w:vAlign w:val="bottom"/>
          </w:tcPr>
          <w:p>
            <w:pPr>
              <w:spacing w:after="0"/>
              <w:rPr>
                <w:sz w:val="15"/>
                <w:szCs w:val="15"/>
                <w:color w:val="auto"/>
              </w:rPr>
            </w:pPr>
          </w:p>
        </w:tc>
        <w:tc>
          <w:tcPr>
            <w:tcW w:w="1380" w:type="dxa"/>
            <w:vAlign w:val="bottom"/>
          </w:tcPr>
          <w:p>
            <w:pPr>
              <w:jc w:val="center"/>
              <w:ind w:right="199"/>
              <w:spacing w:after="0" w:line="181" w:lineRule="exact"/>
              <w:rPr>
                <w:sz w:val="20"/>
                <w:szCs w:val="20"/>
                <w:color w:val="auto"/>
              </w:rPr>
            </w:pPr>
            <w:r>
              <w:rPr>
                <w:rFonts w:ascii="Times New Roman" w:cs="Times New Roman" w:eastAsia="Times New Roman" w:hAnsi="Times New Roman"/>
                <w:sz w:val="16"/>
                <w:szCs w:val="16"/>
                <w:b w:val="1"/>
                <w:bCs w:val="1"/>
                <w:color w:val="auto"/>
                <w:w w:val="99"/>
              </w:rPr>
              <w:t>Attributed to</w:t>
            </w:r>
          </w:p>
        </w:tc>
      </w:tr>
      <w:tr>
        <w:trPr>
          <w:trHeight w:val="203"/>
        </w:trPr>
        <w:tc>
          <w:tcPr>
            <w:tcW w:w="39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52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Statement of</w:t>
            </w:r>
          </w:p>
        </w:tc>
        <w:tc>
          <w:tcPr>
            <w:tcW w:w="180" w:type="dxa"/>
            <w:vAlign w:val="bottom"/>
          </w:tcPr>
          <w:p>
            <w:pPr>
              <w:spacing w:after="0"/>
              <w:rPr>
                <w:sz w:val="17"/>
                <w:szCs w:val="17"/>
                <w:color w:val="auto"/>
              </w:rPr>
            </w:pPr>
          </w:p>
        </w:tc>
        <w:tc>
          <w:tcPr>
            <w:tcW w:w="14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60" w:type="dxa"/>
            <w:vAlign w:val="bottom"/>
          </w:tcPr>
          <w:p>
            <w:pPr>
              <w:spacing w:after="0"/>
              <w:rPr>
                <w:sz w:val="17"/>
                <w:szCs w:val="17"/>
                <w:color w:val="auto"/>
              </w:rPr>
            </w:pPr>
          </w:p>
        </w:tc>
        <w:tc>
          <w:tcPr>
            <w:tcW w:w="13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7"/>
              </w:rPr>
              <w:t>Future</w:t>
            </w:r>
          </w:p>
        </w:tc>
      </w:tr>
      <w:tr>
        <w:trPr>
          <w:trHeight w:val="203"/>
        </w:trPr>
        <w:tc>
          <w:tcPr>
            <w:tcW w:w="39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52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80" w:type="dxa"/>
            <w:vAlign w:val="bottom"/>
          </w:tcPr>
          <w:p>
            <w:pPr>
              <w:spacing w:after="0"/>
              <w:rPr>
                <w:sz w:val="17"/>
                <w:szCs w:val="17"/>
                <w:color w:val="auto"/>
              </w:rPr>
            </w:pPr>
          </w:p>
        </w:tc>
        <w:tc>
          <w:tcPr>
            <w:tcW w:w="14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60" w:type="dxa"/>
            <w:vAlign w:val="bottom"/>
          </w:tcPr>
          <w:p>
            <w:pPr>
              <w:spacing w:after="0"/>
              <w:rPr>
                <w:sz w:val="17"/>
                <w:szCs w:val="17"/>
                <w:color w:val="auto"/>
              </w:rPr>
            </w:pPr>
          </w:p>
        </w:tc>
        <w:tc>
          <w:tcPr>
            <w:tcW w:w="13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Periods</w:t>
            </w:r>
          </w:p>
        </w:tc>
      </w:tr>
      <w:tr>
        <w:trPr>
          <w:trHeight w:val="215"/>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(GAAP)</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(Non-GAAP)</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(Non-GAAP)</w:t>
            </w:r>
          </w:p>
        </w:tc>
      </w:tr>
      <w:tr>
        <w:trPr>
          <w:trHeight w:val="19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2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2600" w:type="dxa"/>
            <w:vAlign w:val="bottom"/>
          </w:tcPr>
          <w:p>
            <w:pPr>
              <w:spacing w:after="0"/>
              <w:rPr>
                <w:sz w:val="17"/>
                <w:szCs w:val="17"/>
                <w:color w:val="auto"/>
              </w:rPr>
            </w:pPr>
          </w:p>
        </w:tc>
        <w:tc>
          <w:tcPr>
            <w:tcW w:w="15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(170)</w:t>
            </w:r>
          </w:p>
        </w:tc>
        <w:tc>
          <w:tcPr>
            <w:tcW w:w="18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0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26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(431)</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2600" w:type="dxa"/>
            <w:vAlign w:val="bottom"/>
          </w:tcPr>
          <w:p>
            <w:pPr>
              <w:spacing w:after="0"/>
              <w:rPr>
                <w:sz w:val="17"/>
                <w:szCs w:val="17"/>
                <w:color w:val="auto"/>
              </w:rPr>
            </w:pPr>
          </w:p>
        </w:tc>
        <w:tc>
          <w:tcPr>
            <w:tcW w:w="15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(1,369)</w:t>
            </w:r>
          </w:p>
        </w:tc>
        <w:tc>
          <w:tcPr>
            <w:tcW w:w="18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w:t>
            </w:r>
          </w:p>
        </w:tc>
      </w:tr>
      <w:tr>
        <w:trPr>
          <w:trHeight w:val="20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26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3,015</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3,014</w:t>
            </w:r>
          </w:p>
        </w:tc>
      </w:tr>
      <w:tr>
        <w:trPr>
          <w:trHeight w:val="20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2024</w:t>
            </w:r>
          </w:p>
        </w:tc>
        <w:tc>
          <w:tcPr>
            <w:tcW w:w="2600" w:type="dxa"/>
            <w:vAlign w:val="bottom"/>
          </w:tcPr>
          <w:p>
            <w:pPr>
              <w:spacing w:after="0"/>
              <w:rPr>
                <w:sz w:val="17"/>
                <w:szCs w:val="17"/>
                <w:color w:val="auto"/>
              </w:rPr>
            </w:pPr>
          </w:p>
        </w:tc>
        <w:tc>
          <w:tcPr>
            <w:tcW w:w="15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(1,991)</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w:t>
            </w:r>
          </w:p>
        </w:tc>
      </w:tr>
      <w:tr>
        <w:trPr>
          <w:trHeight w:val="20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2024</w:t>
            </w:r>
          </w:p>
        </w:tc>
        <w:tc>
          <w:tcPr>
            <w:tcW w:w="26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212</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w:t>
            </w:r>
          </w:p>
        </w:tc>
      </w:tr>
      <w:tr>
        <w:trPr>
          <w:trHeight w:val="203"/>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March 31, 2024</w:t>
            </w:r>
          </w:p>
        </w:tc>
        <w:tc>
          <w:tcPr>
            <w:tcW w:w="26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1,171</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1,150</w:t>
            </w:r>
          </w:p>
        </w:tc>
      </w:tr>
      <w:tr>
        <w:trPr>
          <w:trHeight w:val="196"/>
        </w:trPr>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26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r>
      <w:tr>
        <w:trPr>
          <w:trHeight w:val="196"/>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2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(1,934)</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435</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w:t>
            </w:r>
          </w:p>
        </w:tc>
      </w:tr>
      <w:tr>
        <w:trPr>
          <w:trHeight w:val="203"/>
        </w:trPr>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26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2,407</w:t>
            </w: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2,377</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Economic Net Portfolio Interest Income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40" w:type="dxa"/>
            <w:vAlign w:val="bottom"/>
            <w:tcBorders>
              <w:top w:val="single" w:sz="8" w:color="auto"/>
              <w:bottom w:val="single" w:sz="8" w:color="auto"/>
            </w:tcBorders>
            <w:gridSpan w:val="5"/>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Interest Expense on Repurchase Agreements</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440" w:type="dxa"/>
            <w:vAlign w:val="bottom"/>
            <w:tcBorders>
              <w:top w:val="single" w:sz="8" w:color="auto"/>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Net Portfolio Interest Income</w:t>
            </w:r>
          </w:p>
        </w:tc>
      </w:tr>
      <w:tr>
        <w:trPr>
          <w:trHeight w:val="180"/>
        </w:trPr>
        <w:tc>
          <w:tcPr>
            <w:tcW w:w="2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39"/>
              <w:spacing w:after="0" w:line="181" w:lineRule="exact"/>
              <w:rPr>
                <w:sz w:val="20"/>
                <w:szCs w:val="20"/>
                <w:color w:val="auto"/>
              </w:rPr>
            </w:pPr>
            <w:r>
              <w:rPr>
                <w:rFonts w:ascii="Times New Roman" w:cs="Times New Roman" w:eastAsia="Times New Roman" w:hAnsi="Times New Roman"/>
                <w:sz w:val="16"/>
                <w:szCs w:val="16"/>
                <w:b w:val="1"/>
                <w:bCs w:val="1"/>
                <w:color w:val="auto"/>
                <w:w w:val="99"/>
              </w:rPr>
              <w:t>Effect of Non-</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2"/>
        </w:trPr>
        <w:tc>
          <w:tcPr>
            <w:tcW w:w="2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GAAP</w:t>
            </w:r>
          </w:p>
        </w:tc>
        <w:tc>
          <w:tcPr>
            <w:tcW w:w="220" w:type="dxa"/>
            <w:vAlign w:val="bottom"/>
          </w:tcPr>
          <w:p>
            <w:pPr>
              <w:spacing w:after="0"/>
              <w:rPr>
                <w:sz w:val="17"/>
                <w:szCs w:val="17"/>
                <w:color w:val="auto"/>
              </w:rPr>
            </w:pPr>
          </w:p>
        </w:tc>
        <w:tc>
          <w:tcPr>
            <w:tcW w:w="10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Economic</w:t>
            </w:r>
          </w:p>
        </w:tc>
      </w:tr>
      <w:tr>
        <w:trPr>
          <w:trHeight w:val="219"/>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8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GAAP Basis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59"/>
              <w:spacing w:after="0" w:line="220" w:lineRule="exact"/>
              <w:rPr>
                <w:sz w:val="20"/>
                <w:szCs w:val="20"/>
                <w:color w:val="auto"/>
              </w:rPr>
            </w:pPr>
            <w:r>
              <w:rPr>
                <w:rFonts w:ascii="Times New Roman" w:cs="Times New Roman" w:eastAsia="Times New Roman" w:hAnsi="Times New Roman"/>
                <w:sz w:val="16"/>
                <w:szCs w:val="16"/>
                <w:b w:val="1"/>
                <w:bCs w:val="1"/>
                <w:color w:val="auto"/>
                <w:w w:val="95"/>
              </w:rPr>
              <w:t>Hedges</w:t>
            </w:r>
            <w:r>
              <w:rPr>
                <w:rFonts w:ascii="Times New Roman" w:cs="Times New Roman" w:eastAsia="Times New Roman" w:hAnsi="Times New Roman"/>
                <w:sz w:val="25"/>
                <w:szCs w:val="25"/>
                <w:b w:val="1"/>
                <w:bCs w:val="1"/>
                <w:color w:val="auto"/>
                <w:w w:val="95"/>
                <w:vertAlign w:val="superscript"/>
              </w:rPr>
              <w:t>(1)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9"/>
              <w:spacing w:after="0" w:line="220" w:lineRule="exact"/>
              <w:rPr>
                <w:sz w:val="20"/>
                <w:szCs w:val="20"/>
                <w:color w:val="auto"/>
              </w:rPr>
            </w:pPr>
            <w:r>
              <w:rPr>
                <w:rFonts w:ascii="Times New Roman" w:cs="Times New Roman" w:eastAsia="Times New Roman" w:hAnsi="Times New Roman"/>
                <w:sz w:val="16"/>
                <w:szCs w:val="16"/>
                <w:b w:val="1"/>
                <w:bCs w:val="1"/>
                <w:color w:val="auto"/>
              </w:rPr>
              <w:t>Basis</w:t>
            </w:r>
            <w:r>
              <w:rPr>
                <w:rFonts w:ascii="Times New Roman" w:cs="Times New Roman" w:eastAsia="Times New Roman" w:hAnsi="Times New Roman"/>
                <w:sz w:val="25"/>
                <w:szCs w:val="25"/>
                <w:b w:val="1"/>
                <w:bCs w:val="1"/>
                <w:color w:val="auto"/>
                <w:vertAlign w:val="superscript"/>
              </w:rPr>
              <w:t>(2)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GAAP Basis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9"/>
              <w:spacing w:after="0" w:line="220" w:lineRule="exact"/>
              <w:rPr>
                <w:sz w:val="20"/>
                <w:szCs w:val="20"/>
                <w:color w:val="auto"/>
              </w:rPr>
            </w:pPr>
            <w:r>
              <w:rPr>
                <w:rFonts w:ascii="Times New Roman" w:cs="Times New Roman" w:eastAsia="Times New Roman" w:hAnsi="Times New Roman"/>
                <w:sz w:val="16"/>
                <w:szCs w:val="16"/>
                <w:b w:val="1"/>
                <w:bCs w:val="1"/>
                <w:color w:val="auto"/>
              </w:rPr>
              <w:t>Basis</w:t>
            </w:r>
            <w:r>
              <w:rPr>
                <w:rFonts w:ascii="Times New Roman" w:cs="Times New Roman" w:eastAsia="Times New Roman" w:hAnsi="Times New Roman"/>
                <w:sz w:val="25"/>
                <w:szCs w:val="25"/>
                <w:b w:val="1"/>
                <w:bCs w:val="1"/>
                <w:color w:val="auto"/>
                <w:vertAlign w:val="superscript"/>
              </w:rPr>
              <w:t>(3)</w:t>
            </w:r>
          </w:p>
        </w:tc>
      </w:tr>
      <w:tr>
        <w:trPr>
          <w:trHeight w:val="19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3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1,451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538</w:t>
            </w: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32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1,534</w:t>
            </w: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1,157</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377</w:t>
            </w: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485</w:t>
            </w: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1,582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1,191</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391</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503</w:t>
            </w: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132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1,307</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435</w:t>
            </w: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541</w:t>
            </w: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1,673</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1,402</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271</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w:t>
            </w: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2024</w:t>
            </w:r>
          </w:p>
        </w:tc>
        <w:tc>
          <w:tcPr>
            <w:tcW w:w="132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1,485</w:t>
            </w: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1,373</w:t>
            </w:r>
          </w:p>
        </w:tc>
        <w:tc>
          <w:tcPr>
            <w:tcW w:w="22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w:t>
            </w:r>
          </w:p>
        </w:tc>
        <w:tc>
          <w:tcPr>
            <w:tcW w:w="2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2024</w:t>
            </w:r>
          </w:p>
        </w:tc>
        <w:tc>
          <w:tcPr>
            <w:tcW w:w="1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1,157</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w:t>
            </w:r>
          </w:p>
        </w:tc>
      </w:tr>
      <w:tr>
        <w:trPr>
          <w:trHeight w:val="203"/>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March 31, 2024</w:t>
            </w:r>
          </w:p>
        </w:tc>
        <w:tc>
          <w:tcPr>
            <w:tcW w:w="1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1,208</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186</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207</w:t>
            </w:r>
          </w:p>
        </w:tc>
      </w:tr>
      <w:tr>
        <w:trPr>
          <w:trHeight w:val="196"/>
        </w:trPr>
        <w:tc>
          <w:tcPr>
            <w:tcW w:w="2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r>
      <w:tr>
        <w:trPr>
          <w:trHeight w:val="196"/>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3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6,309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4,677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4,242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2,067</w:t>
            </w:r>
          </w:p>
        </w:tc>
      </w:tr>
      <w:tr>
        <w:trPr>
          <w:trHeight w:val="20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5,839</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5,140</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699</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729</w:t>
            </w:r>
          </w:p>
        </w:tc>
      </w:tr>
    </w:tbl>
    <w:p>
      <w:pPr>
        <w:spacing w:after="0" w:line="202"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effect of derivative instrument hedges for only the period presented.</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subtracting the effect of derivative instrument hedges attributed to the period presented from GAAP interest expense.</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adding the effect of derivative instrument hedges attributed to the period presented to GAAP net portfolio interest income.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Economic Net Interest Income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03"/>
        </w:trPr>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Net Portfolio</w:t>
            </w:r>
          </w:p>
        </w:tc>
        <w:tc>
          <w:tcPr>
            <w:tcW w:w="240" w:type="dxa"/>
            <w:vAlign w:val="bottom"/>
          </w:tcPr>
          <w:p>
            <w:pPr>
              <w:spacing w:after="0"/>
              <w:rPr>
                <w:sz w:val="17"/>
                <w:szCs w:val="17"/>
                <w:color w:val="auto"/>
              </w:rPr>
            </w:pPr>
          </w:p>
        </w:tc>
        <w:tc>
          <w:tcPr>
            <w:tcW w:w="120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Expense on</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Interest Income</w:t>
            </w:r>
          </w:p>
        </w:tc>
        <w:tc>
          <w:tcPr>
            <w:tcW w:w="240" w:type="dxa"/>
            <w:vAlign w:val="bottom"/>
          </w:tcPr>
          <w:p>
            <w:pPr>
              <w:spacing w:after="0"/>
              <w:rPr>
                <w:sz w:val="18"/>
                <w:szCs w:val="18"/>
                <w:color w:val="auto"/>
              </w:rPr>
            </w:pPr>
          </w:p>
        </w:tc>
        <w:tc>
          <w:tcPr>
            <w:tcW w:w="120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8"/>
              </w:rPr>
              <w:t>Long-Term</w:t>
            </w:r>
          </w:p>
        </w:tc>
        <w:tc>
          <w:tcPr>
            <w:tcW w:w="120" w:type="dxa"/>
            <w:vAlign w:val="bottom"/>
          </w:tcPr>
          <w:p>
            <w:pPr>
              <w:spacing w:after="0"/>
              <w:rPr>
                <w:sz w:val="18"/>
                <w:szCs w:val="18"/>
                <w:color w:val="auto"/>
              </w:rPr>
            </w:pPr>
          </w:p>
        </w:tc>
        <w:tc>
          <w:tcPr>
            <w:tcW w:w="242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Net Interest Income (Expense)</w:t>
            </w:r>
          </w:p>
        </w:tc>
      </w:tr>
      <w:tr>
        <w:trPr>
          <w:trHeight w:val="179"/>
        </w:trPr>
        <w:tc>
          <w:tcPr>
            <w:tcW w:w="46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79"/>
              <w:spacing w:after="0" w:line="179" w:lineRule="exact"/>
              <w:rPr>
                <w:sz w:val="20"/>
                <w:szCs w:val="20"/>
                <w:color w:val="auto"/>
              </w:rPr>
            </w:pPr>
            <w:r>
              <w:rPr>
                <w:rFonts w:ascii="Times New Roman" w:cs="Times New Roman" w:eastAsia="Times New Roman" w:hAnsi="Times New Roman"/>
                <w:sz w:val="16"/>
                <w:szCs w:val="16"/>
                <w:b w:val="1"/>
                <w:bCs w:val="1"/>
                <w:color w:val="auto"/>
              </w:rPr>
              <w:t>GAAP</w:t>
            </w: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79"/>
              <w:spacing w:after="0" w:line="179" w:lineRule="exact"/>
              <w:rPr>
                <w:sz w:val="20"/>
                <w:szCs w:val="20"/>
                <w:color w:val="auto"/>
              </w:rPr>
            </w:pPr>
            <w:r>
              <w:rPr>
                <w:rFonts w:ascii="Times New Roman" w:cs="Times New Roman" w:eastAsia="Times New Roman" w:hAnsi="Times New Roman"/>
                <w:sz w:val="16"/>
                <w:szCs w:val="16"/>
                <w:b w:val="1"/>
                <w:bCs w:val="1"/>
                <w:color w:val="auto"/>
              </w:rPr>
              <w:t>Economic</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259"/>
              <w:spacing w:after="0" w:line="179" w:lineRule="exact"/>
              <w:rPr>
                <w:sz w:val="20"/>
                <w:szCs w:val="20"/>
                <w:color w:val="auto"/>
              </w:rPr>
            </w:pPr>
            <w:r>
              <w:rPr>
                <w:rFonts w:ascii="Times New Roman" w:cs="Times New Roman" w:eastAsia="Times New Roman" w:hAnsi="Times New Roman"/>
                <w:sz w:val="16"/>
                <w:szCs w:val="16"/>
                <w:b w:val="1"/>
                <w:bCs w:val="1"/>
                <w:color w:val="auto"/>
              </w:rPr>
              <w:t>Debt</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379"/>
              <w:spacing w:after="0" w:line="179" w:lineRule="exact"/>
              <w:rPr>
                <w:sz w:val="20"/>
                <w:szCs w:val="20"/>
                <w:color w:val="auto"/>
              </w:rPr>
            </w:pPr>
            <w:r>
              <w:rPr>
                <w:rFonts w:ascii="Times New Roman" w:cs="Times New Roman" w:eastAsia="Times New Roman" w:hAnsi="Times New Roman"/>
                <w:sz w:val="16"/>
                <w:szCs w:val="16"/>
                <w:b w:val="1"/>
                <w:bCs w:val="1"/>
                <w:color w:val="auto"/>
              </w:rPr>
              <w:t>GAAP</w:t>
            </w: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39"/>
              <w:spacing w:after="0" w:line="179" w:lineRule="exact"/>
              <w:rPr>
                <w:sz w:val="20"/>
                <w:szCs w:val="20"/>
                <w:color w:val="auto"/>
              </w:rPr>
            </w:pPr>
            <w:r>
              <w:rPr>
                <w:rFonts w:ascii="Times New Roman" w:cs="Times New Roman" w:eastAsia="Times New Roman" w:hAnsi="Times New Roman"/>
                <w:sz w:val="16"/>
                <w:szCs w:val="16"/>
                <w:b w:val="1"/>
                <w:bCs w:val="1"/>
                <w:color w:val="auto"/>
              </w:rPr>
              <w:t>Economic</w:t>
            </w:r>
          </w:p>
        </w:tc>
        <w:tc>
          <w:tcPr>
            <w:tcW w:w="100" w:type="dxa"/>
            <w:vAlign w:val="bottom"/>
          </w:tcPr>
          <w:p>
            <w:pPr>
              <w:spacing w:after="0"/>
              <w:rPr>
                <w:sz w:val="15"/>
                <w:szCs w:val="15"/>
                <w:color w:val="auto"/>
              </w:rPr>
            </w:pPr>
          </w:p>
        </w:tc>
      </w:tr>
      <w:tr>
        <w:trPr>
          <w:trHeight w:val="219"/>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Basis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280"/>
              <w:spacing w:after="0" w:line="220" w:lineRule="exact"/>
              <w:rPr>
                <w:sz w:val="20"/>
                <w:szCs w:val="20"/>
                <w:color w:val="auto"/>
              </w:rPr>
            </w:pPr>
            <w:r>
              <w:rPr>
                <w:rFonts w:ascii="Times New Roman" w:cs="Times New Roman" w:eastAsia="Times New Roman" w:hAnsi="Times New Roman"/>
                <w:sz w:val="16"/>
                <w:szCs w:val="16"/>
                <w:b w:val="1"/>
                <w:bCs w:val="1"/>
                <w:color w:val="auto"/>
                <w:w w:val="90"/>
              </w:rPr>
              <w:t>Basis</w:t>
            </w:r>
            <w:r>
              <w:rPr>
                <w:rFonts w:ascii="Times New Roman" w:cs="Times New Roman" w:eastAsia="Times New Roman" w:hAnsi="Times New Roman"/>
                <w:sz w:val="25"/>
                <w:szCs w:val="25"/>
                <w:b w:val="1"/>
                <w:bCs w:val="1"/>
                <w:color w:val="auto"/>
                <w:w w:val="90"/>
                <w:vertAlign w:val="superscript"/>
              </w:rPr>
              <w:t>(1)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(GAAP)</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Basis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Basis(4)</w:t>
            </w:r>
          </w:p>
        </w:tc>
      </w:tr>
      <w:tr>
        <w:trPr>
          <w:trHeight w:val="19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2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377</w:t>
            </w:r>
          </w:p>
        </w:tc>
        <w:tc>
          <w:tcPr>
            <w:tcW w:w="2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485</w:t>
            </w:r>
          </w:p>
        </w:tc>
        <w:tc>
          <w:tcPr>
            <w:tcW w:w="24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391</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503</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2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435</w:t>
            </w:r>
          </w:p>
        </w:tc>
        <w:tc>
          <w:tcPr>
            <w:tcW w:w="2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541</w:t>
            </w:r>
          </w:p>
        </w:tc>
        <w:tc>
          <w:tcPr>
            <w:tcW w:w="24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271</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272</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(309)</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2024</w:t>
            </w:r>
          </w:p>
        </w:tc>
        <w:tc>
          <w:tcPr>
            <w:tcW w:w="2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w:t>
            </w:r>
          </w:p>
        </w:tc>
        <w:tc>
          <w:tcPr>
            <w:tcW w:w="2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607</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(531)</w:t>
            </w: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2024</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174</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(431)</w:t>
            </w:r>
          </w:p>
        </w:tc>
      </w:tr>
      <w:tr>
        <w:trPr>
          <w:trHeight w:val="20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March 31, 2024</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186</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207</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608</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(401)</w:t>
            </w:r>
          </w:p>
        </w:tc>
      </w:tr>
      <w:tr>
        <w:trPr>
          <w:trHeight w:val="196"/>
        </w:trPr>
        <w:tc>
          <w:tcPr>
            <w:tcW w:w="4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1,632</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2,067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w:t>
            </w:r>
          </w:p>
        </w:tc>
      </w:tr>
      <w:tr>
        <w:trPr>
          <w:trHeight w:val="203"/>
        </w:trPr>
        <w:tc>
          <w:tcPr>
            <w:tcW w:w="4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699</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729</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2,401</w:t>
            </w: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(1,672)</w:t>
            </w:r>
          </w:p>
        </w:tc>
      </w:tr>
    </w:tbl>
    <w:p>
      <w:pPr>
        <w:spacing w:after="0" w:line="202"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adding the effect of derivative instrument hedges attributed to the period presented to GAAP net portfolio interest income.</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effect of derivative instrument hedges for only the period presented.</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adding the effect of derivative instrument hedges attributed to the period presented to GAAP net interest income.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140" w:firstLine="450"/>
        <w:spacing w:after="0" w:line="266" w:lineRule="auto"/>
        <w:rPr>
          <w:sz w:val="20"/>
          <w:szCs w:val="20"/>
          <w:color w:val="auto"/>
        </w:rPr>
      </w:pPr>
      <w:r>
        <w:rPr>
          <w:rFonts w:ascii="Times New Roman" w:cs="Times New Roman" w:eastAsia="Times New Roman" w:hAnsi="Times New Roman"/>
          <w:sz w:val="18"/>
          <w:szCs w:val="18"/>
          <w:color w:val="auto"/>
        </w:rPr>
        <w:t>We have two operating segments: (a) the asset management segment, which includes the investment advisory services provided by Bimini Advisors to Orchid and Royal Palm; and (b) the investment portfolio segment, which includes the investment activities conducted by Royal Palm. Segment information for the years ended December 31, 2025 and 2024 is as follows: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15"/>
        </w:trPr>
        <w:tc>
          <w:tcPr>
            <w:tcW w:w="3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9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Advisory services, external customers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16,575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16,575</w:t>
            </w:r>
          </w:p>
        </w:tc>
      </w:tr>
      <w:tr>
        <w:trPr>
          <w:trHeight w:val="203"/>
        </w:trPr>
        <w:tc>
          <w:tcPr>
            <w:tcW w:w="382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Advisory services, other operating segments</w:t>
            </w:r>
            <w:r>
              <w:rPr>
                <w:rFonts w:ascii="Times New Roman" w:cs="Times New Roman" w:eastAsia="Times New Roman" w:hAnsi="Times New Roman"/>
                <w:sz w:val="23"/>
                <w:szCs w:val="23"/>
                <w:color w:val="auto"/>
                <w:vertAlign w:val="superscript"/>
              </w:rPr>
              <w:t>(1)</w:t>
            </w:r>
          </w:p>
        </w:tc>
        <w:tc>
          <w:tcPr>
            <w:tcW w:w="86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189</w:t>
            </w:r>
          </w:p>
        </w:tc>
        <w:tc>
          <w:tcPr>
            <w:tcW w:w="2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dividend income</w:t>
            </w:r>
          </w:p>
        </w:tc>
        <w:tc>
          <w:tcPr>
            <w:tcW w:w="8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7,129</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7,129</w:t>
            </w:r>
          </w:p>
        </w:tc>
      </w:tr>
      <w:tr>
        <w:trPr>
          <w:trHeight w:val="203"/>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(4,677)</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5"/>
                <w:szCs w:val="15"/>
                <w:color w:val="auto"/>
              </w:rPr>
              <w:t xml:space="preserve">(2,136)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(6,813)</w:t>
            </w:r>
          </w:p>
        </w:tc>
      </w:tr>
      <w:tr>
        <w:trPr>
          <w:trHeight w:val="19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8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16,764</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2,452</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(2,136)</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16,891</w:t>
            </w: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86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205</w:t>
            </w:r>
          </w:p>
        </w:tc>
        <w:tc>
          <w:tcPr>
            <w:tcW w:w="220" w:type="dxa"/>
            <w:vAlign w:val="bottom"/>
          </w:tcPr>
          <w:p>
            <w:pPr>
              <w:spacing w:after="0"/>
              <w:rPr>
                <w:sz w:val="17"/>
                <w:szCs w:val="17"/>
                <w:color w:val="auto"/>
              </w:rPr>
            </w:pP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w:t>
            </w:r>
          </w:p>
        </w:tc>
      </w:tr>
      <w:tr>
        <w:trPr>
          <w:trHeight w:val="203"/>
        </w:trPr>
        <w:tc>
          <w:tcPr>
            <w:tcW w:w="38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Operating expenses</w:t>
            </w:r>
            <w:r>
              <w:rPr>
                <w:rFonts w:ascii="Times New Roman" w:cs="Times New Roman" w:eastAsia="Times New Roman" w:hAnsi="Times New Roman"/>
                <w:sz w:val="23"/>
                <w:szCs w:val="23"/>
                <w:color w:val="auto"/>
                <w:vertAlign w:val="superscript"/>
              </w:rPr>
              <w:t>(3)</w:t>
            </w:r>
          </w:p>
        </w:tc>
        <w:tc>
          <w:tcPr>
            <w:tcW w:w="8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(8,778)</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(12,603)</w:t>
            </w:r>
          </w:p>
        </w:tc>
      </w:tr>
      <w:tr>
        <w:trPr>
          <w:trHeight w:val="203"/>
        </w:trPr>
        <w:tc>
          <w:tcPr>
            <w:tcW w:w="38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5"/>
                <w:szCs w:val="15"/>
                <w:color w:val="auto"/>
              </w:rPr>
              <w:t>Intercompany expenses</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189</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7,986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4,493</w:t>
            </w:r>
          </w:p>
        </w:tc>
      </w:tr>
      <w:tr>
        <w:trPr>
          <w:trHeight w:val="183"/>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Year-end assets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2,617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120,751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6,326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129,694</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5"/>
        </w:trPr>
        <w:tc>
          <w:tcPr>
            <w:tcW w:w="3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9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Advisory services, external customers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12,784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12,784</w:t>
            </w:r>
          </w:p>
        </w:tc>
      </w:tr>
      <w:tr>
        <w:trPr>
          <w:trHeight w:val="203"/>
        </w:trPr>
        <w:tc>
          <w:tcPr>
            <w:tcW w:w="382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Advisory services, other operating segments</w:t>
            </w:r>
            <w:r>
              <w:rPr>
                <w:rFonts w:ascii="Times New Roman" w:cs="Times New Roman" w:eastAsia="Times New Roman" w:hAnsi="Times New Roman"/>
                <w:sz w:val="23"/>
                <w:szCs w:val="23"/>
                <w:color w:val="auto"/>
                <w:vertAlign w:val="superscript"/>
              </w:rPr>
              <w:t>(1)</w:t>
            </w:r>
          </w:p>
        </w:tc>
        <w:tc>
          <w:tcPr>
            <w:tcW w:w="86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145</w:t>
            </w:r>
          </w:p>
        </w:tc>
        <w:tc>
          <w:tcPr>
            <w:tcW w:w="2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dividend income</w:t>
            </w:r>
          </w:p>
        </w:tc>
        <w:tc>
          <w:tcPr>
            <w:tcW w:w="8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6,657</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6,658</w:t>
            </w:r>
          </w:p>
        </w:tc>
      </w:tr>
      <w:tr>
        <w:trPr>
          <w:trHeight w:val="203"/>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(5,140)</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5"/>
                <w:szCs w:val="15"/>
                <w:color w:val="auto"/>
              </w:rPr>
              <w:t xml:space="preserve">(2,401)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(7,541)</w:t>
            </w:r>
          </w:p>
        </w:tc>
      </w:tr>
      <w:tr>
        <w:trPr>
          <w:trHeight w:val="19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8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12,929</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1,517</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(2,400)</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11,901</w:t>
            </w: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86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1,167</w:t>
            </w:r>
          </w:p>
        </w:tc>
        <w:tc>
          <w:tcPr>
            <w:tcW w:w="220" w:type="dxa"/>
            <w:vAlign w:val="bottom"/>
          </w:tcPr>
          <w:p>
            <w:pPr>
              <w:spacing w:after="0"/>
              <w:rPr>
                <w:sz w:val="17"/>
                <w:szCs w:val="17"/>
                <w:color w:val="auto"/>
              </w:rPr>
            </w:pP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1,167</w:t>
            </w:r>
          </w:p>
        </w:tc>
      </w:tr>
      <w:tr>
        <w:trPr>
          <w:trHeight w:val="203"/>
        </w:trPr>
        <w:tc>
          <w:tcPr>
            <w:tcW w:w="38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Operating expenses</w:t>
            </w:r>
            <w:r>
              <w:rPr>
                <w:rFonts w:ascii="Times New Roman" w:cs="Times New Roman" w:eastAsia="Times New Roman" w:hAnsi="Times New Roman"/>
                <w:sz w:val="23"/>
                <w:szCs w:val="23"/>
                <w:color w:val="auto"/>
                <w:vertAlign w:val="superscript"/>
              </w:rPr>
              <w:t>(3)</w:t>
            </w:r>
          </w:p>
        </w:tc>
        <w:tc>
          <w:tcPr>
            <w:tcW w:w="8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(7,241)</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(11,258)</w:t>
            </w:r>
          </w:p>
        </w:tc>
      </w:tr>
      <w:tr>
        <w:trPr>
          <w:trHeight w:val="203"/>
        </w:trPr>
        <w:tc>
          <w:tcPr>
            <w:tcW w:w="38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5"/>
                <w:szCs w:val="15"/>
                <w:color w:val="auto"/>
              </w:rPr>
              <w:t>Intercompany expenses</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145</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5,688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1,810</w:t>
            </w:r>
          </w:p>
        </w:tc>
      </w:tr>
      <w:tr>
        <w:trPr>
          <w:trHeight w:val="183"/>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Year-end assets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2,006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146,714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6,134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154,854</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fees paid by Royal Palm to Bimini Advisors for advisory services at an annualized rate of 1.5% of capital allocated to Royal Palm's MBS portfolio.</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on long-term debt.</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expenses are allocated based on each segment’s proportional share of total revenues.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Segment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Advisory Services Revenue</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Advisory services revenue consists of management fees and overhead reimbursements charged to Orchid for the management of its portfolio pursuant to the terms of a management agreement. We receive a monthly management fee in the amount of:</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1.50% of the first $250 million of Orchid’s month-end equity, as defined in the management agreement,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1.25% of Orchid’s month-end equity that is greater than $250 million and less than or equal to $500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1.00% of Orchid’s month-end equity that is greater than $500 million.</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also provides certain repurchase agreement trading, clearing and administrative services to Orchid. In consideration for such services,</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Orchid pays the following fees to the Company:</w:t>
      </w:r>
    </w:p>
    <w:p>
      <w:pPr>
        <w:spacing w:after="0" w:line="207" w:lineRule="exact"/>
        <w:rPr>
          <w:sz w:val="20"/>
          <w:szCs w:val="20"/>
          <w:color w:val="auto"/>
        </w:rPr>
      </w:pPr>
    </w:p>
    <w:p>
      <w:pPr>
        <w:ind w:left="300" w:right="20" w:hanging="171"/>
        <w:spacing w:after="0" w:line="257" w:lineRule="auto"/>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daily fee equal to the outstanding principal balance of repurchase agreement funding in place as of the end of such day multiplied by 1.5 basis points for the amount of aggregate outstanding principal balance less than or equal to $5 billion, and multiplied by 1.0 basis point for any amount of aggregate outstanding principal balance in excess of $5 billion, and</w:t>
      </w:r>
    </w:p>
    <w:p>
      <w:pPr>
        <w:spacing w:after="0" w:line="1" w:lineRule="exact"/>
        <w:rPr>
          <w:rFonts w:ascii="Times New Roman" w:cs="Times New Roman" w:eastAsia="Times New Roman" w:hAnsi="Times New Roman"/>
          <w:sz w:val="18"/>
          <w:szCs w:val="18"/>
          <w:color w:val="auto"/>
        </w:rPr>
      </w:pPr>
    </w:p>
    <w:p>
      <w:pPr>
        <w:ind w:left="300" w:hanging="171"/>
        <w:spacing w:after="0"/>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clearing and operational services provided by personnel of the Manager equal to $10,000 per month.</w:t>
      </w:r>
    </w:p>
    <w:p>
      <w:pPr>
        <w:spacing w:after="0" w:line="207"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In addition, Orchid is obligated to reimburse us for any direct expenses incurred on its behalf and to pay to us an amount equal to Orchid's pro rata portion of certain overhead costs set forth in the management agreement. The management agreement has been renewed through February 2027 and provides for automatic one-year extension options. Should Orchid terminate the management agreement without cause, it will be obligated to pay to us a termination fee equal to three times the average annual management fee, as defined in the management agreement, before or on the last day of the applicable renewal term.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advisory services revenue received from Orchid for the years ended December 31, 2025 and 2024 and each quarter during 2025 and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180" w:type="dxa"/>
            <w:vAlign w:val="bottom"/>
            <w:tcBorders>
              <w:top w:val="single" w:sz="8" w:color="auto"/>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Advisory Services</w:t>
            </w: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r>
      <w:tr>
        <w:trPr>
          <w:trHeight w:val="180"/>
        </w:trPr>
        <w:tc>
          <w:tcPr>
            <w:tcW w:w="2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jc w:val="center"/>
              <w:ind w:right="159"/>
              <w:spacing w:after="0" w:line="18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5"/>
                <w:szCs w:val="15"/>
                <w:color w:val="auto"/>
              </w:rPr>
            </w:pPr>
          </w:p>
        </w:tc>
        <w:tc>
          <w:tcPr>
            <w:tcW w:w="880" w:type="dxa"/>
            <w:vAlign w:val="bottom"/>
          </w:tcPr>
          <w:p>
            <w:pPr>
              <w:jc w:val="center"/>
              <w:ind w:right="139"/>
              <w:spacing w:after="0" w:line="181" w:lineRule="exact"/>
              <w:rPr>
                <w:sz w:val="20"/>
                <w:szCs w:val="20"/>
                <w:color w:val="auto"/>
              </w:rPr>
            </w:pPr>
            <w:r>
              <w:rPr>
                <w:rFonts w:ascii="Times New Roman" w:cs="Times New Roman" w:eastAsia="Times New Roman" w:hAnsi="Times New Roman"/>
                <w:sz w:val="16"/>
                <w:szCs w:val="16"/>
                <w:b w:val="1"/>
                <w:bCs w:val="1"/>
                <w:color w:val="auto"/>
              </w:rPr>
              <w:t>Average</w:t>
            </w:r>
          </w:p>
        </w:tc>
        <w:tc>
          <w:tcPr>
            <w:tcW w:w="240" w:type="dxa"/>
            <w:vAlign w:val="bottom"/>
          </w:tcPr>
          <w:p>
            <w:pPr>
              <w:spacing w:after="0"/>
              <w:rPr>
                <w:sz w:val="15"/>
                <w:szCs w:val="15"/>
                <w:color w:val="auto"/>
              </w:rPr>
            </w:pPr>
          </w:p>
        </w:tc>
        <w:tc>
          <w:tcPr>
            <w:tcW w:w="980" w:type="dxa"/>
            <w:vAlign w:val="bottom"/>
          </w:tcPr>
          <w:p>
            <w:pPr>
              <w:jc w:val="center"/>
              <w:ind w:right="259"/>
              <w:spacing w:after="0" w:line="181" w:lineRule="exact"/>
              <w:rPr>
                <w:sz w:val="20"/>
                <w:szCs w:val="20"/>
                <w:color w:val="auto"/>
              </w:rPr>
            </w:pPr>
            <w:r>
              <w:rPr>
                <w:rFonts w:ascii="Times New Roman" w:cs="Times New Roman" w:eastAsia="Times New Roman" w:hAnsi="Times New Roman"/>
                <w:sz w:val="16"/>
                <w:szCs w:val="16"/>
                <w:b w:val="1"/>
                <w:bCs w:val="1"/>
                <w:color w:val="auto"/>
                <w:w w:val="98"/>
              </w:rPr>
              <w:t>Orchid</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19"/>
              <w:spacing w:after="0" w:line="181" w:lineRule="exact"/>
              <w:rPr>
                <w:sz w:val="20"/>
                <w:szCs w:val="20"/>
                <w:color w:val="auto"/>
              </w:rPr>
            </w:pPr>
            <w:r>
              <w:rPr>
                <w:rFonts w:ascii="Times New Roman" w:cs="Times New Roman" w:eastAsia="Times New Roman" w:hAnsi="Times New Roman"/>
                <w:sz w:val="16"/>
                <w:szCs w:val="16"/>
                <w:b w:val="1"/>
                <w:bCs w:val="1"/>
                <w:color w:val="auto"/>
                <w:w w:val="98"/>
              </w:rPr>
              <w:t>Repurchase,</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3"/>
        </w:trPr>
        <w:tc>
          <w:tcPr>
            <w:tcW w:w="2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Orchid</w:t>
            </w:r>
          </w:p>
        </w:tc>
        <w:tc>
          <w:tcPr>
            <w:tcW w:w="220" w:type="dxa"/>
            <w:vAlign w:val="bottom"/>
          </w:tcPr>
          <w:p>
            <w:pPr>
              <w:spacing w:after="0"/>
              <w:rPr>
                <w:sz w:val="17"/>
                <w:szCs w:val="17"/>
                <w:color w:val="auto"/>
              </w:rPr>
            </w:pPr>
          </w:p>
        </w:tc>
        <w:tc>
          <w:tcPr>
            <w:tcW w:w="8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Orchid</w:t>
            </w:r>
          </w:p>
        </w:tc>
        <w:tc>
          <w:tcPr>
            <w:tcW w:w="122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Repurchase</w:t>
            </w:r>
          </w:p>
        </w:tc>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8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Overhead</w:t>
            </w:r>
          </w:p>
        </w:tc>
        <w:tc>
          <w:tcPr>
            <w:tcW w:w="12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Clearing and</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5"/>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MBS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2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Fee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Allocation</w:t>
            </w: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Administrative</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9,492,369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1,233,957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9,061,222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705</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319</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4,724</w:t>
            </w: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1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7,674,720</w:t>
            </w:r>
          </w:p>
        </w:tc>
        <w:tc>
          <w:tcPr>
            <w:tcW w:w="2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1,108,307</w:t>
            </w:r>
          </w:p>
        </w:tc>
        <w:tc>
          <w:tcPr>
            <w:tcW w:w="24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7,331,428</w:t>
            </w:r>
          </w:p>
        </w:tc>
        <w:tc>
          <w:tcPr>
            <w:tcW w:w="20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3,294</w:t>
            </w:r>
          </w:p>
        </w:tc>
        <w:tc>
          <w:tcPr>
            <w:tcW w:w="1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887</w:t>
            </w:r>
          </w:p>
        </w:tc>
        <w:tc>
          <w:tcPr>
            <w:tcW w:w="2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277</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4,458</w:t>
            </w:r>
          </w:p>
        </w:tc>
      </w:tr>
      <w:tr>
        <w:trPr>
          <w:trHeight w:val="20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6,865,727</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1,012,986</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6,537,260</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2,982</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582</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247</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3,811</w:t>
            </w: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11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5,995,702</w:t>
            </w:r>
          </w:p>
        </w:tc>
        <w:tc>
          <w:tcPr>
            <w:tcW w:w="2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902,590</w:t>
            </w:r>
          </w:p>
        </w:tc>
        <w:tc>
          <w:tcPr>
            <w:tcW w:w="24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5,722,092</w:t>
            </w:r>
          </w:p>
        </w:tc>
        <w:tc>
          <w:tcPr>
            <w:tcW w:w="20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2,747</w:t>
            </w:r>
          </w:p>
        </w:tc>
        <w:tc>
          <w:tcPr>
            <w:tcW w:w="1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608</w:t>
            </w:r>
          </w:p>
        </w:tc>
        <w:tc>
          <w:tcPr>
            <w:tcW w:w="2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3,582</w:t>
            </w:r>
          </w:p>
        </w:tc>
      </w:tr>
      <w:tr>
        <w:trPr>
          <w:trHeight w:val="20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5,348,057</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817,241</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5,128,207</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2,488</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677</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222</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3,387</w:t>
            </w: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2024</w:t>
            </w:r>
          </w:p>
        </w:tc>
        <w:tc>
          <w:tcPr>
            <w:tcW w:w="11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4,984,279</w:t>
            </w:r>
          </w:p>
        </w:tc>
        <w:tc>
          <w:tcPr>
            <w:tcW w:w="2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780,010</w:t>
            </w:r>
          </w:p>
        </w:tc>
        <w:tc>
          <w:tcPr>
            <w:tcW w:w="24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4,788,287</w:t>
            </w:r>
          </w:p>
        </w:tc>
        <w:tc>
          <w:tcPr>
            <w:tcW w:w="20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2,448</w:t>
            </w:r>
          </w:p>
        </w:tc>
        <w:tc>
          <w:tcPr>
            <w:tcW w:w="1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637</w:t>
            </w:r>
          </w:p>
        </w:tc>
        <w:tc>
          <w:tcPr>
            <w:tcW w:w="2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w:t>
            </w: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3,301</w:t>
            </w:r>
          </w:p>
        </w:tc>
      </w:tr>
      <w:tr>
        <w:trPr>
          <w:trHeight w:val="20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2024</w:t>
            </w: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4,203,416</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699,766</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4,028,601</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2,257</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732</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3,167</w:t>
            </w:r>
          </w:p>
        </w:tc>
      </w:tr>
      <w:tr>
        <w:trPr>
          <w:trHeight w:val="203"/>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March 31, 2024</w:t>
            </w:r>
          </w:p>
        </w:tc>
        <w:tc>
          <w:tcPr>
            <w:tcW w:w="1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3,887,545</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672,057</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3,708,573</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2,161</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598</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2,929</w:t>
            </w:r>
          </w:p>
        </w:tc>
      </w:tr>
      <w:tr>
        <w:trPr>
          <w:trHeight w:val="196"/>
        </w:trPr>
        <w:tc>
          <w:tcPr>
            <w:tcW w:w="2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r>
      <w:tr>
        <w:trPr>
          <w:trHeight w:val="196"/>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7,507,130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1,064,460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7,163,001</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2,782</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1,070</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16,575</w:t>
            </w:r>
          </w:p>
        </w:tc>
      </w:tr>
      <w:tr>
        <w:trPr>
          <w:trHeight w:val="20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4,605,824</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742,269</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4,413,417</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9,354</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2,644</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786</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12,784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 of Tom Johnson Investment Management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January 13, 2026, the Company announced that Holdings has entered into an agreement to purchase eighty percent (80%) of the fully diluted equity interests of TJIM, a privately held registered investment adviser. The transaction is expected to close at the beginning of the second quarter of 2026. As of the announcement date, TJIM had approximately $1.6 billion of assets under management across equity and fixed income markets. TJIM’s management agreements are diverse, covering individual accounts, sub-advisory agreements, and wrap programs. The existing owners of TJIM will retain an ownership interest in TJIM and Bimini intends to retain its current staff and investment management team following the closing of the transaction. The transaction agreements include mutual put and call rights that could result in the Company’s acquisition of the remaining 20% equity interest retained by the existing owners. The transaction is intended to transition Bimini into a pure asset management firm with a more diverse mix of assets under its respective management teams.</w:t>
      </w:r>
    </w:p>
    <w:p>
      <w:pPr>
        <w:spacing w:after="0" w:line="192"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If the acquisition of TJIM is completed, the composition of the Company’s business will change both from the perspective of how its capital is deployed and how it reports its results for its operating segments. The acquisition of an 80% ownership interest in TJIM will require the deployment of a significant portion of the Company’s capital, including all capital currently deployed into the investment portfolio, with the exception of shares of Orchid. The results of TJIM going forward would represent a significant portion of the Company’s aggregate results. If the acquisition is completed and the Company is able to generate and retain earnings going forward, the Company expects that such funds will be deployed into an Agency MBS investment portfolio, in which case they are expected to be managed more conservatively in terms of the amount of leverage employed when compared to leverage employed by the Company historically. Given the Company’s intention to retain ownership of shares of Orchid if the transaction closes, the Company’s operating segments would consist of the management of Orchid, the controlling stake in the operations of TJIM, and to a lesser extent its investment portfolio, for a total of three reportable segments.</w:t>
      </w:r>
    </w:p>
    <w:p>
      <w:pPr>
        <w:spacing w:after="0" w:line="18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With respect to the Company’s results of operations for 2025 and 2024, the investment portfolio comprised one of the Company’s reportable segments and the Company deployed significant capital to those operations. Accordingly, such operations are described in detail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 Segment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Portfolio Interest Income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define net portfolio interest income as interest income on MBS less interest expense on repurchase agreement funding.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we generated $1.6 million of net portfolio interest income, consisting of $6.3 million of interest income from MBS assets offset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 million of interest expense on repurchase liabilities. For the year ended December 31, 2024, we generated $0.7 million of net portfolio interest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consisting of $5.8 million of interest income from MBS assets offset by $5.1 million of interest expense on repurchase liabilities. The $0.5</w:t>
      </w:r>
    </w:p>
    <w:p>
      <w:pPr>
        <w:spacing w:after="0" w:line="9"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18"/>
          <w:szCs w:val="18"/>
          <w:color w:val="auto"/>
        </w:rPr>
        <w:t>million increase in interest income for the year ended December 31, 2025 was primarily due to a $9.4 million increase in average MBS balances, offset by a 7 basis point ("bp") decrease in yields earned on the portfolio. The $0.5 million decrease in interest expense for the year ended December 31, 2025 was primarily due to a 90 bp decrease in cost of funds, offset by a $9.0 million increase in average repurchase liabilities.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Our economic interest expense on repurchase liabilities for the years ended December 31, 2025 and 2024 was $4.2 million and $5.1 million, respectively, resulting in $2.1 million and $0.7 million of economic net portfolio interest income, respectively.</w:t>
      </w:r>
    </w:p>
    <w:p>
      <w:pPr>
        <w:spacing w:after="0" w:line="162"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tables below provide information on our portfolio average balances, interest income, yield on assets, average repurchase agreement balances, interest expense, cost of funds, net interest income and net interest rate spread for each quarter in 2025 and 2024 and for the years ended December 31, 2025 and 2024 on both a GAAP and economic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Yield on</w:t>
            </w: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160" w:type="dxa"/>
            <w:vAlign w:val="bottom"/>
            <w:tcBorders>
              <w:top w:val="single" w:sz="8" w:color="auto"/>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Average Cost of Funds</w:t>
            </w:r>
          </w:p>
        </w:tc>
        <w:tc>
          <w:tcPr>
            <w:tcW w:w="20" w:type="dxa"/>
            <w:vAlign w:val="bottom"/>
          </w:tcPr>
          <w:p>
            <w:pPr>
              <w:spacing w:after="0"/>
              <w:rPr>
                <w:sz w:val="17"/>
                <w:szCs w:val="17"/>
                <w:color w:val="auto"/>
              </w:rPr>
            </w:pPr>
          </w:p>
        </w:tc>
      </w:tr>
      <w:tr>
        <w:trPr>
          <w:trHeight w:val="179"/>
        </w:trPr>
        <w:tc>
          <w:tcPr>
            <w:tcW w:w="1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center"/>
              <w:ind w:right="139"/>
              <w:spacing w:after="0" w:line="179" w:lineRule="exact"/>
              <w:rPr>
                <w:sz w:val="20"/>
                <w:szCs w:val="20"/>
                <w:color w:val="auto"/>
              </w:rPr>
            </w:pPr>
            <w:r>
              <w:rPr>
                <w:rFonts w:ascii="Times New Roman" w:cs="Times New Roman" w:eastAsia="Times New Roman" w:hAnsi="Times New Roman"/>
                <w:sz w:val="16"/>
                <w:szCs w:val="16"/>
                <w:b w:val="1"/>
                <w:bCs w:val="1"/>
                <w:color w:val="auto"/>
              </w:rPr>
              <w:t>MBS</w:t>
            </w:r>
          </w:p>
        </w:tc>
        <w:tc>
          <w:tcPr>
            <w:tcW w:w="220" w:type="dxa"/>
            <w:vAlign w:val="bottom"/>
          </w:tcPr>
          <w:p>
            <w:pPr>
              <w:spacing w:after="0"/>
              <w:rPr>
                <w:sz w:val="15"/>
                <w:szCs w:val="15"/>
                <w:color w:val="auto"/>
              </w:rPr>
            </w:pPr>
          </w:p>
        </w:tc>
        <w:tc>
          <w:tcPr>
            <w:tcW w:w="980" w:type="dxa"/>
            <w:vAlign w:val="bottom"/>
          </w:tcPr>
          <w:p>
            <w:pPr>
              <w:jc w:val="right"/>
              <w:ind w:right="279"/>
              <w:spacing w:after="0" w:line="179"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100" w:type="dxa"/>
            <w:vAlign w:val="bottom"/>
          </w:tcPr>
          <w:p>
            <w:pPr>
              <w:jc w:val="center"/>
              <w:ind w:right="79"/>
              <w:spacing w:after="0" w:line="179"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40" w:type="dxa"/>
            <w:vAlign w:val="bottom"/>
            <w:gridSpan w:val="3"/>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Repurchase</w:t>
            </w:r>
          </w:p>
        </w:tc>
        <w:tc>
          <w:tcPr>
            <w:tcW w:w="200" w:type="dxa"/>
            <w:vAlign w:val="bottom"/>
          </w:tcPr>
          <w:p>
            <w:pPr>
              <w:spacing w:after="0"/>
              <w:rPr>
                <w:sz w:val="15"/>
                <w:szCs w:val="15"/>
                <w:color w:val="auto"/>
              </w:rPr>
            </w:pPr>
          </w:p>
        </w:tc>
        <w:tc>
          <w:tcPr>
            <w:tcW w:w="1000" w:type="dxa"/>
            <w:vAlign w:val="bottom"/>
            <w:gridSpan w:val="2"/>
          </w:tcPr>
          <w:p>
            <w:pPr>
              <w:jc w:val="right"/>
              <w:ind w:right="239"/>
              <w:spacing w:after="0" w:line="179" w:lineRule="exact"/>
              <w:rPr>
                <w:sz w:val="20"/>
                <w:szCs w:val="20"/>
                <w:color w:val="auto"/>
              </w:rPr>
            </w:pPr>
            <w:r>
              <w:rPr>
                <w:rFonts w:ascii="Times New Roman" w:cs="Times New Roman" w:eastAsia="Times New Roman" w:hAnsi="Times New Roman"/>
                <w:sz w:val="16"/>
                <w:szCs w:val="16"/>
                <w:b w:val="1"/>
                <w:bCs w:val="1"/>
                <w:color w:val="auto"/>
              </w:rPr>
              <w:t>GAAP</w:t>
            </w:r>
          </w:p>
        </w:tc>
        <w:tc>
          <w:tcPr>
            <w:tcW w:w="1120" w:type="dxa"/>
            <w:vAlign w:val="bottom"/>
            <w:gridSpan w:val="4"/>
          </w:tcPr>
          <w:p>
            <w:pPr>
              <w:jc w:val="right"/>
              <w:ind w:right="220"/>
              <w:spacing w:after="0" w:line="179" w:lineRule="exact"/>
              <w:rPr>
                <w:sz w:val="20"/>
                <w:szCs w:val="20"/>
                <w:color w:val="auto"/>
              </w:rPr>
            </w:pPr>
            <w:r>
              <w:rPr>
                <w:rFonts w:ascii="Times New Roman" w:cs="Times New Roman" w:eastAsia="Times New Roman" w:hAnsi="Times New Roman"/>
                <w:sz w:val="16"/>
                <w:szCs w:val="16"/>
                <w:b w:val="1"/>
                <w:bCs w:val="1"/>
                <w:color w:val="auto"/>
              </w:rPr>
              <w:t>Economic</w:t>
            </w:r>
          </w:p>
        </w:tc>
        <w:tc>
          <w:tcPr>
            <w:tcW w:w="100" w:type="dxa"/>
            <w:vAlign w:val="bottom"/>
          </w:tcPr>
          <w:p>
            <w:pPr>
              <w:spacing w:after="0"/>
              <w:rPr>
                <w:sz w:val="15"/>
                <w:szCs w:val="15"/>
                <w:color w:val="auto"/>
              </w:rPr>
            </w:pPr>
          </w:p>
        </w:tc>
        <w:tc>
          <w:tcPr>
            <w:tcW w:w="1080" w:type="dxa"/>
            <w:vAlign w:val="bottom"/>
          </w:tcPr>
          <w:p>
            <w:pPr>
              <w:jc w:val="right"/>
              <w:ind w:right="319"/>
              <w:spacing w:after="0" w:line="179" w:lineRule="exact"/>
              <w:rPr>
                <w:sz w:val="20"/>
                <w:szCs w:val="20"/>
                <w:color w:val="auto"/>
              </w:rPr>
            </w:pPr>
            <w:r>
              <w:rPr>
                <w:rFonts w:ascii="Times New Roman" w:cs="Times New Roman" w:eastAsia="Times New Roman" w:hAnsi="Times New Roman"/>
                <w:sz w:val="16"/>
                <w:szCs w:val="16"/>
                <w:b w:val="1"/>
                <w:bCs w:val="1"/>
                <w:color w:val="auto"/>
              </w:rPr>
              <w:t>GAAP</w:t>
            </w:r>
          </w:p>
        </w:tc>
        <w:tc>
          <w:tcPr>
            <w:tcW w:w="108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Economic</w:t>
            </w:r>
          </w:p>
        </w:tc>
        <w:tc>
          <w:tcPr>
            <w:tcW w:w="20" w:type="dxa"/>
            <w:vAlign w:val="bottom"/>
          </w:tcPr>
          <w:p>
            <w:pPr>
              <w:spacing w:after="0"/>
              <w:rPr>
                <w:sz w:val="15"/>
                <w:szCs w:val="15"/>
                <w:color w:val="auto"/>
              </w:rPr>
            </w:pPr>
          </w:p>
        </w:tc>
      </w:tr>
      <w:tr>
        <w:trPr>
          <w:trHeight w:val="219"/>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Pr>
          <w:p>
            <w:pPr>
              <w:spacing w:after="0"/>
              <w:rPr>
                <w:sz w:val="19"/>
                <w:szCs w:val="19"/>
                <w:color w:val="auto"/>
              </w:rPr>
            </w:pPr>
          </w:p>
        </w:tc>
        <w:tc>
          <w:tcPr>
            <w:tcW w:w="860" w:type="dxa"/>
            <w:vAlign w:val="bottom"/>
          </w:tcPr>
          <w:p>
            <w:pPr>
              <w:jc w:val="center"/>
              <w:ind w:right="139"/>
              <w:spacing w:after="0" w:line="220" w:lineRule="exact"/>
              <w:rPr>
                <w:sz w:val="20"/>
                <w:szCs w:val="20"/>
                <w:color w:val="auto"/>
              </w:rPr>
            </w:pPr>
            <w:r>
              <w:rPr>
                <w:rFonts w:ascii="Times New Roman" w:cs="Times New Roman" w:eastAsia="Times New Roman" w:hAnsi="Times New Roman"/>
                <w:sz w:val="16"/>
                <w:szCs w:val="16"/>
                <w:b w:val="1"/>
                <w:bCs w:val="1"/>
                <w:color w:val="auto"/>
                <w:w w:val="91"/>
              </w:rPr>
              <w:t>Held</w:t>
            </w:r>
            <w:r>
              <w:rPr>
                <w:rFonts w:ascii="Times New Roman" w:cs="Times New Roman" w:eastAsia="Times New Roman" w:hAnsi="Times New Roman"/>
                <w:sz w:val="25"/>
                <w:szCs w:val="25"/>
                <w:b w:val="1"/>
                <w:bCs w:val="1"/>
                <w:color w:val="auto"/>
                <w:w w:val="91"/>
                <w:vertAlign w:val="superscript"/>
              </w:rPr>
              <w:t>(1)</w:t>
            </w:r>
          </w:p>
        </w:tc>
        <w:tc>
          <w:tcPr>
            <w:tcW w:w="220" w:type="dxa"/>
            <w:vAlign w:val="bottom"/>
          </w:tcPr>
          <w:p>
            <w:pPr>
              <w:spacing w:after="0"/>
              <w:rPr>
                <w:sz w:val="19"/>
                <w:szCs w:val="19"/>
                <w:color w:val="auto"/>
              </w:rPr>
            </w:pPr>
          </w:p>
        </w:tc>
        <w:tc>
          <w:tcPr>
            <w:tcW w:w="980" w:type="dxa"/>
            <w:vAlign w:val="bottom"/>
          </w:tcPr>
          <w:p>
            <w:pPr>
              <w:jc w:val="right"/>
              <w:ind w:right="219"/>
              <w:spacing w:after="0" w:line="220" w:lineRule="exact"/>
              <w:rPr>
                <w:sz w:val="20"/>
                <w:szCs w:val="20"/>
                <w:color w:val="auto"/>
              </w:rPr>
            </w:pPr>
            <w:r>
              <w:rPr>
                <w:rFonts w:ascii="Times New Roman" w:cs="Times New Roman" w:eastAsia="Times New Roman" w:hAnsi="Times New Roman"/>
                <w:sz w:val="16"/>
                <w:szCs w:val="16"/>
                <w:b w:val="1"/>
                <w:bCs w:val="1"/>
                <w:color w:val="auto"/>
                <w:w w:val="94"/>
              </w:rPr>
              <w:t>Income</w:t>
            </w:r>
            <w:r>
              <w:rPr>
                <w:rFonts w:ascii="Times New Roman" w:cs="Times New Roman" w:eastAsia="Times New Roman" w:hAnsi="Times New Roman"/>
                <w:sz w:val="25"/>
                <w:szCs w:val="25"/>
                <w:b w:val="1"/>
                <w:bCs w:val="1"/>
                <w:color w:val="auto"/>
                <w:w w:val="94"/>
                <w:vertAlign w:val="superscript"/>
              </w:rPr>
              <w:t>(2)</w:t>
            </w:r>
          </w:p>
        </w:tc>
        <w:tc>
          <w:tcPr>
            <w:tcW w:w="11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7"/>
              </w:rPr>
              <w:t>MBS</w:t>
            </w:r>
          </w:p>
        </w:tc>
        <w:tc>
          <w:tcPr>
            <w:tcW w:w="1040" w:type="dxa"/>
            <w:vAlign w:val="bottom"/>
            <w:gridSpan w:val="3"/>
          </w:tcPr>
          <w:p>
            <w:pPr>
              <w:ind w:left="60"/>
              <w:spacing w:after="0" w:line="220" w:lineRule="exact"/>
              <w:rPr>
                <w:sz w:val="20"/>
                <w:szCs w:val="20"/>
                <w:color w:val="auto"/>
              </w:rPr>
            </w:pPr>
            <w:r>
              <w:rPr>
                <w:rFonts w:ascii="Times New Roman" w:cs="Times New Roman" w:eastAsia="Times New Roman" w:hAnsi="Times New Roman"/>
                <w:sz w:val="16"/>
                <w:szCs w:val="16"/>
                <w:b w:val="1"/>
                <w:bCs w:val="1"/>
                <w:color w:val="auto"/>
                <w:w w:val="94"/>
              </w:rPr>
              <w:t>Agreements</w:t>
            </w:r>
            <w:r>
              <w:rPr>
                <w:rFonts w:ascii="Times New Roman" w:cs="Times New Roman" w:eastAsia="Times New Roman" w:hAnsi="Times New Roman"/>
                <w:sz w:val="25"/>
                <w:szCs w:val="25"/>
                <w:b w:val="1"/>
                <w:bCs w:val="1"/>
                <w:color w:val="auto"/>
                <w:w w:val="94"/>
                <w:vertAlign w:val="superscript"/>
              </w:rPr>
              <w:t>(1)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120" w:type="dxa"/>
            <w:vAlign w:val="bottom"/>
            <w:gridSpan w:val="4"/>
          </w:tcPr>
          <w:p>
            <w:pPr>
              <w:jc w:val="right"/>
              <w:ind w:right="300"/>
              <w:spacing w:after="0" w:line="220" w:lineRule="exact"/>
              <w:rPr>
                <w:sz w:val="20"/>
                <w:szCs w:val="20"/>
                <w:color w:val="auto"/>
              </w:rPr>
            </w:pPr>
            <w:r>
              <w:rPr>
                <w:rFonts w:ascii="Times New Roman" w:cs="Times New Roman" w:eastAsia="Times New Roman" w:hAnsi="Times New Roman"/>
                <w:sz w:val="16"/>
                <w:szCs w:val="16"/>
                <w:b w:val="1"/>
                <w:bCs w:val="1"/>
                <w:color w:val="auto"/>
              </w:rPr>
              <w:t>Basis</w:t>
            </w:r>
            <w:r>
              <w:rPr>
                <w:rFonts w:ascii="Times New Roman" w:cs="Times New Roman" w:eastAsia="Times New Roman" w:hAnsi="Times New Roman"/>
                <w:sz w:val="25"/>
                <w:szCs w:val="25"/>
                <w:b w:val="1"/>
                <w:bCs w:val="1"/>
                <w:color w:val="auto"/>
                <w:vertAlign w:val="superscript"/>
              </w:rPr>
              <w:t>(2)</w:t>
            </w:r>
          </w:p>
        </w:tc>
        <w:tc>
          <w:tcPr>
            <w:tcW w:w="100" w:type="dxa"/>
            <w:vAlign w:val="bottom"/>
          </w:tcPr>
          <w:p>
            <w:pPr>
              <w:spacing w:after="0"/>
              <w:rPr>
                <w:sz w:val="19"/>
                <w:szCs w:val="19"/>
                <w:color w:val="auto"/>
              </w:rPr>
            </w:pPr>
          </w:p>
        </w:tc>
        <w:tc>
          <w:tcPr>
            <w:tcW w:w="10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100" w:type="dxa"/>
            <w:vAlign w:val="bottom"/>
            <w:gridSpan w:val="2"/>
          </w:tcPr>
          <w:p>
            <w:pPr>
              <w:jc w:val="center"/>
              <w:ind w:right="100"/>
              <w:spacing w:after="0" w:line="220" w:lineRule="exact"/>
              <w:rPr>
                <w:sz w:val="20"/>
                <w:szCs w:val="20"/>
                <w:color w:val="auto"/>
              </w:rPr>
            </w:pPr>
            <w:r>
              <w:rPr>
                <w:rFonts w:ascii="Times New Roman" w:cs="Times New Roman" w:eastAsia="Times New Roman" w:hAnsi="Times New Roman"/>
                <w:sz w:val="16"/>
                <w:szCs w:val="16"/>
                <w:b w:val="1"/>
                <w:bCs w:val="1"/>
                <w:color w:val="auto"/>
                <w:w w:val="94"/>
              </w:rPr>
              <w:t>Basis</w:t>
            </w:r>
            <w:r>
              <w:rPr>
                <w:rFonts w:ascii="Times New Roman" w:cs="Times New Roman" w:eastAsia="Times New Roman" w:hAnsi="Times New Roman"/>
                <w:sz w:val="25"/>
                <w:szCs w:val="25"/>
                <w:b w:val="1"/>
                <w:bCs w:val="1"/>
                <w:color w:val="auto"/>
                <w:w w:val="94"/>
                <w:vertAlign w:val="superscript"/>
              </w:rPr>
              <w:t>(3)</w:t>
            </w:r>
          </w:p>
        </w:tc>
      </w:tr>
      <w:tr>
        <w:trPr>
          <w:trHeight w:val="196"/>
        </w:trPr>
        <w:tc>
          <w:tcPr>
            <w:tcW w:w="1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96,668</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92,640</w:t>
            </w:r>
          </w:p>
        </w:tc>
        <w:tc>
          <w:tcPr>
            <w:tcW w:w="460" w:type="dxa"/>
            <w:vAlign w:val="bottom"/>
            <w:tcBorders>
              <w:top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1,022</w:t>
            </w:r>
          </w:p>
        </w:tc>
        <w:tc>
          <w:tcPr>
            <w:tcW w:w="62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913</w:t>
            </w:r>
          </w:p>
        </w:tc>
        <w:tc>
          <w:tcPr>
            <w:tcW w:w="1180" w:type="dxa"/>
            <w:vAlign w:val="bottom"/>
            <w:tcBorders>
              <w:top w:val="single" w:sz="8" w:color="auto"/>
            </w:tcBorders>
            <w:gridSpan w:val="2"/>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rPr>
              <w:t>4.41%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0" w:type="dxa"/>
            <w:vAlign w:val="bottom"/>
          </w:tcPr>
          <w:p>
            <w:pPr>
              <w:spacing w:after="0"/>
              <w:rPr>
                <w:sz w:val="17"/>
                <w:szCs w:val="17"/>
                <w:color w:val="auto"/>
              </w:rPr>
            </w:pPr>
          </w:p>
        </w:tc>
      </w:tr>
      <w:tr>
        <w:trPr>
          <w:trHeight w:val="203"/>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5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106,016</w:t>
            </w:r>
          </w:p>
        </w:tc>
        <w:tc>
          <w:tcPr>
            <w:tcW w:w="22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100,848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1,157</w:t>
            </w:r>
          </w:p>
        </w:tc>
        <w:tc>
          <w:tcPr>
            <w:tcW w:w="620" w:type="dxa"/>
            <w:vAlign w:val="bottom"/>
          </w:tcPr>
          <w:p>
            <w:pPr>
              <w:spacing w:after="0"/>
              <w:rPr>
                <w:sz w:val="17"/>
                <w:szCs w:val="17"/>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9"/>
              </w:rPr>
              <w:t>1,049</w:t>
            </w:r>
          </w:p>
        </w:tc>
        <w:tc>
          <w:tcPr>
            <w:tcW w:w="1180" w:type="dxa"/>
            <w:vAlign w:val="bottom"/>
            <w:gridSpan w:val="2"/>
          </w:tcPr>
          <w:p>
            <w:pPr>
              <w:jc w:val="center"/>
              <w:ind w:left="559"/>
              <w:spacing w:after="0"/>
              <w:rPr>
                <w:sz w:val="20"/>
                <w:szCs w:val="20"/>
                <w:color w:val="auto"/>
              </w:rPr>
            </w:pPr>
            <w:r>
              <w:rPr>
                <w:rFonts w:ascii="Times New Roman" w:cs="Times New Roman" w:eastAsia="Times New Roman" w:hAnsi="Times New Roman"/>
                <w:sz w:val="16"/>
                <w:szCs w:val="16"/>
                <w:color w:val="auto"/>
              </w:rPr>
              <w:t>4.59%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20" w:type="dxa"/>
            <w:vAlign w:val="bottom"/>
          </w:tcPr>
          <w:p>
            <w:pPr>
              <w:spacing w:after="0"/>
              <w:rPr>
                <w:sz w:val="17"/>
                <w:szCs w:val="17"/>
                <w:color w:val="auto"/>
              </w:rPr>
            </w:pPr>
          </w:p>
        </w:tc>
      </w:tr>
      <w:tr>
        <w:trPr>
          <w:trHeight w:val="20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114,294</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1,582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108,626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1,191</w:t>
            </w:r>
          </w:p>
        </w:tc>
        <w:tc>
          <w:tcPr>
            <w:tcW w:w="6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1,079</w:t>
            </w:r>
          </w:p>
        </w:tc>
        <w:tc>
          <w:tcPr>
            <w:tcW w:w="1180" w:type="dxa"/>
            <w:vAlign w:val="bottom"/>
            <w:gridSpan w:val="2"/>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rPr>
              <w:t>4.39%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20" w:type="dxa"/>
            <w:vAlign w:val="bottom"/>
          </w:tcPr>
          <w:p>
            <w:pPr>
              <w:spacing w:after="0"/>
              <w:rPr>
                <w:sz w:val="17"/>
                <w:szCs w:val="17"/>
                <w:color w:val="auto"/>
              </w:rPr>
            </w:pPr>
          </w:p>
        </w:tc>
      </w:tr>
      <w:tr>
        <w:trPr>
          <w:trHeight w:val="203"/>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5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121,657</w:t>
            </w:r>
          </w:p>
        </w:tc>
        <w:tc>
          <w:tcPr>
            <w:tcW w:w="22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1,742</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2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116,346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1,307</w:t>
            </w:r>
          </w:p>
        </w:tc>
        <w:tc>
          <w:tcPr>
            <w:tcW w:w="620" w:type="dxa"/>
            <w:vAlign w:val="bottom"/>
          </w:tcPr>
          <w:p>
            <w:pPr>
              <w:spacing w:after="0"/>
              <w:rPr>
                <w:sz w:val="17"/>
                <w:szCs w:val="17"/>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9"/>
              </w:rPr>
              <w:t>1,201</w:t>
            </w:r>
          </w:p>
        </w:tc>
        <w:tc>
          <w:tcPr>
            <w:tcW w:w="1180" w:type="dxa"/>
            <w:vAlign w:val="bottom"/>
            <w:gridSpan w:val="2"/>
          </w:tcPr>
          <w:p>
            <w:pPr>
              <w:jc w:val="center"/>
              <w:ind w:left="559"/>
              <w:spacing w:after="0"/>
              <w:rPr>
                <w:sz w:val="20"/>
                <w:szCs w:val="20"/>
                <w:color w:val="auto"/>
              </w:rPr>
            </w:pPr>
            <w:r>
              <w:rPr>
                <w:rFonts w:ascii="Times New Roman" w:cs="Times New Roman" w:eastAsia="Times New Roman" w:hAnsi="Times New Roman"/>
                <w:sz w:val="16"/>
                <w:szCs w:val="16"/>
                <w:color w:val="auto"/>
              </w:rPr>
              <w:t>4.49%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0" w:type="dxa"/>
            <w:vAlign w:val="bottom"/>
          </w:tcPr>
          <w:p>
            <w:pPr>
              <w:spacing w:after="0"/>
              <w:rPr>
                <w:sz w:val="17"/>
                <w:szCs w:val="17"/>
                <w:color w:val="auto"/>
              </w:rPr>
            </w:pPr>
          </w:p>
        </w:tc>
      </w:tr>
      <w:tr>
        <w:trPr>
          <w:trHeight w:val="20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120,388</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1,673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115,102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1,402</w:t>
            </w:r>
          </w:p>
        </w:tc>
        <w:tc>
          <w:tcPr>
            <w:tcW w:w="6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1,401</w:t>
            </w:r>
          </w:p>
        </w:tc>
        <w:tc>
          <w:tcPr>
            <w:tcW w:w="1180" w:type="dxa"/>
            <w:vAlign w:val="bottom"/>
            <w:gridSpan w:val="2"/>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rPr>
              <w:t>4.87%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0" w:type="dxa"/>
            <w:vAlign w:val="bottom"/>
          </w:tcPr>
          <w:p>
            <w:pPr>
              <w:spacing w:after="0"/>
              <w:rPr>
                <w:sz w:val="17"/>
                <w:szCs w:val="17"/>
                <w:color w:val="auto"/>
              </w:rPr>
            </w:pPr>
          </w:p>
        </w:tc>
      </w:tr>
      <w:tr>
        <w:trPr>
          <w:trHeight w:val="203"/>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2024</w:t>
            </w:r>
          </w:p>
        </w:tc>
        <w:tc>
          <w:tcPr>
            <w:tcW w:w="5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102,422</w:t>
            </w:r>
          </w:p>
        </w:tc>
        <w:tc>
          <w:tcPr>
            <w:tcW w:w="22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1,485</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2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97,949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1,373</w:t>
            </w:r>
          </w:p>
        </w:tc>
        <w:tc>
          <w:tcPr>
            <w:tcW w:w="620" w:type="dxa"/>
            <w:vAlign w:val="bottom"/>
          </w:tcPr>
          <w:p>
            <w:pPr>
              <w:spacing w:after="0"/>
              <w:rPr>
                <w:sz w:val="17"/>
                <w:szCs w:val="17"/>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9"/>
              </w:rPr>
              <w:t>1,409</w:t>
            </w:r>
          </w:p>
        </w:tc>
        <w:tc>
          <w:tcPr>
            <w:tcW w:w="1180" w:type="dxa"/>
            <w:vAlign w:val="bottom"/>
            <w:gridSpan w:val="2"/>
          </w:tcPr>
          <w:p>
            <w:pPr>
              <w:jc w:val="center"/>
              <w:ind w:left="559"/>
              <w:spacing w:after="0"/>
              <w:rPr>
                <w:sz w:val="20"/>
                <w:szCs w:val="20"/>
                <w:color w:val="auto"/>
              </w:rPr>
            </w:pPr>
            <w:r>
              <w:rPr>
                <w:rFonts w:ascii="Times New Roman" w:cs="Times New Roman" w:eastAsia="Times New Roman" w:hAnsi="Times New Roman"/>
                <w:sz w:val="16"/>
                <w:szCs w:val="16"/>
                <w:color w:val="auto"/>
              </w:rPr>
              <w:t>5.61%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20" w:type="dxa"/>
            <w:vAlign w:val="bottom"/>
          </w:tcPr>
          <w:p>
            <w:pPr>
              <w:spacing w:after="0"/>
              <w:rPr>
                <w:sz w:val="17"/>
                <w:szCs w:val="17"/>
                <w:color w:val="auto"/>
              </w:rPr>
            </w:pPr>
          </w:p>
        </w:tc>
      </w:tr>
      <w:tr>
        <w:trPr>
          <w:trHeight w:val="20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2024</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87,539</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83,737</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1,157</w:t>
            </w:r>
          </w:p>
        </w:tc>
        <w:tc>
          <w:tcPr>
            <w:tcW w:w="6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1,113</w:t>
            </w:r>
          </w:p>
        </w:tc>
        <w:tc>
          <w:tcPr>
            <w:tcW w:w="1180" w:type="dxa"/>
            <w:vAlign w:val="bottom"/>
            <w:gridSpan w:val="2"/>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rPr>
              <w:t>5.53%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20" w:type="dxa"/>
            <w:vAlign w:val="bottom"/>
          </w:tcPr>
          <w:p>
            <w:pPr>
              <w:spacing w:after="0"/>
              <w:rPr>
                <w:sz w:val="17"/>
                <w:szCs w:val="17"/>
                <w:color w:val="auto"/>
              </w:rPr>
            </w:pPr>
          </w:p>
        </w:tc>
      </w:tr>
      <w:tr>
        <w:trPr>
          <w:trHeight w:val="203"/>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March 31, 2024</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90,697</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1,394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85,753</w:t>
            </w: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1,208</w:t>
            </w:r>
          </w:p>
        </w:tc>
        <w:tc>
          <w:tcPr>
            <w:tcW w:w="6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9"/>
              </w:rPr>
              <w:t>1,187</w:t>
            </w:r>
          </w:p>
        </w:tc>
        <w:tc>
          <w:tcPr>
            <w:tcW w:w="1180" w:type="dxa"/>
            <w:vAlign w:val="bottom"/>
            <w:tcBorders>
              <w:bottom w:val="single" w:sz="8" w:color="auto"/>
            </w:tcBorders>
            <w:gridSpan w:val="2"/>
          </w:tcPr>
          <w:p>
            <w:pPr>
              <w:jc w:val="center"/>
              <w:ind w:left="559"/>
              <w:spacing w:after="0"/>
              <w:rPr>
                <w:sz w:val="20"/>
                <w:szCs w:val="20"/>
                <w:color w:val="auto"/>
              </w:rPr>
            </w:pPr>
            <w:r>
              <w:rPr>
                <w:rFonts w:ascii="Times New Roman" w:cs="Times New Roman" w:eastAsia="Times New Roman" w:hAnsi="Times New Roman"/>
                <w:sz w:val="16"/>
                <w:szCs w:val="16"/>
                <w:color w:val="auto"/>
              </w:rPr>
              <w:t>5.63%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20" w:type="dxa"/>
            <w:vAlign w:val="bottom"/>
          </w:tcPr>
          <w:p>
            <w:pPr>
              <w:spacing w:after="0"/>
              <w:rPr>
                <w:sz w:val="17"/>
                <w:szCs w:val="17"/>
                <w:color w:val="auto"/>
              </w:rPr>
            </w:pPr>
          </w:p>
        </w:tc>
      </w:tr>
      <w:tr>
        <w:trPr>
          <w:trHeight w:val="196"/>
        </w:trPr>
        <w:tc>
          <w:tcPr>
            <w:tcW w:w="1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109,659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6,309</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104,615</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4,677</w:t>
            </w:r>
          </w:p>
        </w:tc>
        <w:tc>
          <w:tcPr>
            <w:tcW w:w="6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9"/>
              </w:rPr>
              <w:t>4,242</w:t>
            </w:r>
          </w:p>
        </w:tc>
        <w:tc>
          <w:tcPr>
            <w:tcW w:w="1180" w:type="dxa"/>
            <w:vAlign w:val="bottom"/>
            <w:gridSpan w:val="2"/>
          </w:tcPr>
          <w:p>
            <w:pPr>
              <w:jc w:val="center"/>
              <w:ind w:left="559"/>
              <w:spacing w:after="0"/>
              <w:rPr>
                <w:sz w:val="20"/>
                <w:szCs w:val="20"/>
                <w:color w:val="auto"/>
              </w:rPr>
            </w:pPr>
            <w:r>
              <w:rPr>
                <w:rFonts w:ascii="Times New Roman" w:cs="Times New Roman" w:eastAsia="Times New Roman" w:hAnsi="Times New Roman"/>
                <w:sz w:val="16"/>
                <w:szCs w:val="16"/>
                <w:color w:val="auto"/>
              </w:rPr>
              <w:t>4.47%</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20" w:type="dxa"/>
            <w:vAlign w:val="bottom"/>
          </w:tcPr>
          <w:p>
            <w:pPr>
              <w:spacing w:after="0"/>
              <w:rPr>
                <w:sz w:val="17"/>
                <w:szCs w:val="17"/>
                <w:color w:val="auto"/>
              </w:rPr>
            </w:pPr>
          </w:p>
        </w:tc>
      </w:tr>
      <w:tr>
        <w:trPr>
          <w:trHeight w:val="20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100,262</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5,839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95,635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5,140</w:t>
            </w:r>
          </w:p>
        </w:tc>
        <w:tc>
          <w:tcPr>
            <w:tcW w:w="6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5,110</w:t>
            </w:r>
          </w:p>
        </w:tc>
        <w:tc>
          <w:tcPr>
            <w:tcW w:w="1180" w:type="dxa"/>
            <w:vAlign w:val="bottom"/>
            <w:gridSpan w:val="2"/>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rPr>
              <w:t>5.37%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20" w:type="dxa"/>
            <w:vAlign w:val="bottom"/>
          </w:tcPr>
          <w:p>
            <w:pPr>
              <w:spacing w:after="0"/>
              <w:rPr>
                <w:sz w:val="17"/>
                <w:szCs w:val="17"/>
                <w:color w:val="auto"/>
              </w:rPr>
            </w:pPr>
          </w:p>
        </w:tc>
      </w:tr>
      <w:tr>
        <w:trPr>
          <w:trHeight w:val="413"/>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1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Net Portfolio</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Net Portfolio</w:t>
            </w:r>
          </w:p>
        </w:tc>
        <w:tc>
          <w:tcPr>
            <w:tcW w:w="20" w:type="dxa"/>
            <w:vAlign w:val="bottom"/>
          </w:tcPr>
          <w:p>
            <w:pPr>
              <w:spacing w:after="0"/>
              <w:rPr>
                <w:sz w:val="16"/>
                <w:szCs w:val="16"/>
                <w:color w:val="auto"/>
              </w:rPr>
            </w:pPr>
          </w:p>
        </w:tc>
      </w:tr>
      <w:tr>
        <w:trPr>
          <w:trHeight w:val="212"/>
        </w:trPr>
        <w:tc>
          <w:tcPr>
            <w:tcW w:w="1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Interest Income</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Interest Spread</w:t>
            </w:r>
          </w:p>
        </w:tc>
      </w:tr>
      <w:tr>
        <w:trPr>
          <w:trHeight w:val="185"/>
        </w:trPr>
        <w:tc>
          <w:tcPr>
            <w:tcW w:w="1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GAAP</w:t>
            </w:r>
          </w:p>
        </w:tc>
        <w:tc>
          <w:tcPr>
            <w:tcW w:w="1360" w:type="dxa"/>
            <w:vAlign w:val="bottom"/>
            <w:tcBorders>
              <w:top w:val="single" w:sz="8" w:color="auto"/>
            </w:tcBorders>
            <w:gridSpan w:val="2"/>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6"/>
              </w:rPr>
              <w:t>GAAP</w:t>
            </w:r>
          </w:p>
        </w:tc>
        <w:tc>
          <w:tcPr>
            <w:tcW w:w="108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20" w:type="dxa"/>
            <w:vAlign w:val="bottom"/>
          </w:tcPr>
          <w:p>
            <w:pPr>
              <w:spacing w:after="0"/>
              <w:rPr>
                <w:sz w:val="16"/>
                <w:szCs w:val="16"/>
                <w:color w:val="auto"/>
              </w:rPr>
            </w:pPr>
          </w:p>
        </w:tc>
      </w:tr>
      <w:tr>
        <w:trPr>
          <w:trHeight w:val="219"/>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360" w:type="dxa"/>
            <w:vAlign w:val="bottom"/>
            <w:gridSpan w:val="2"/>
          </w:tcPr>
          <w:p>
            <w:pPr>
              <w:jc w:val="center"/>
              <w:ind w:left="79"/>
              <w:spacing w:after="0" w:line="220" w:lineRule="exact"/>
              <w:rPr>
                <w:sz w:val="20"/>
                <w:szCs w:val="20"/>
                <w:color w:val="auto"/>
              </w:rPr>
            </w:pPr>
            <w:r>
              <w:rPr>
                <w:rFonts w:ascii="Times New Roman" w:cs="Times New Roman" w:eastAsia="Times New Roman" w:hAnsi="Times New Roman"/>
                <w:sz w:val="16"/>
                <w:szCs w:val="16"/>
                <w:b w:val="1"/>
                <w:bCs w:val="1"/>
                <w:color w:val="auto"/>
                <w:w w:val="94"/>
              </w:rPr>
              <w:t>Basis</w:t>
            </w:r>
            <w:r>
              <w:rPr>
                <w:rFonts w:ascii="Times New Roman" w:cs="Times New Roman" w:eastAsia="Times New Roman" w:hAnsi="Times New Roman"/>
                <w:sz w:val="25"/>
                <w:szCs w:val="25"/>
                <w:b w:val="1"/>
                <w:bCs w:val="1"/>
                <w:color w:val="auto"/>
                <w:w w:val="94"/>
                <w:vertAlign w:val="superscript"/>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100" w:type="dxa"/>
            <w:vAlign w:val="bottom"/>
            <w:gridSpan w:val="2"/>
          </w:tcPr>
          <w:p>
            <w:pPr>
              <w:ind w:left="140"/>
              <w:spacing w:after="0" w:line="220" w:lineRule="exact"/>
              <w:rPr>
                <w:sz w:val="20"/>
                <w:szCs w:val="20"/>
                <w:color w:val="auto"/>
              </w:rPr>
            </w:pPr>
            <w:r>
              <w:rPr>
                <w:rFonts w:ascii="Times New Roman" w:cs="Times New Roman" w:eastAsia="Times New Roman" w:hAnsi="Times New Roman"/>
                <w:sz w:val="16"/>
                <w:szCs w:val="16"/>
                <w:b w:val="1"/>
                <w:bCs w:val="1"/>
                <w:color w:val="auto"/>
              </w:rPr>
              <w:t>Basis</w:t>
            </w:r>
            <w:r>
              <w:rPr>
                <w:rFonts w:ascii="Times New Roman" w:cs="Times New Roman" w:eastAsia="Times New Roman" w:hAnsi="Times New Roman"/>
                <w:sz w:val="25"/>
                <w:szCs w:val="25"/>
                <w:b w:val="1"/>
                <w:bCs w:val="1"/>
                <w:color w:val="auto"/>
                <w:vertAlign w:val="superscript"/>
              </w:rPr>
              <w:t>(4)</w:t>
            </w:r>
          </w:p>
        </w:tc>
      </w:tr>
      <w:tr>
        <w:trPr>
          <w:trHeight w:val="196"/>
        </w:trPr>
        <w:tc>
          <w:tcPr>
            <w:tcW w:w="1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5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429</w:t>
            </w:r>
          </w:p>
        </w:tc>
        <w:tc>
          <w:tcPr>
            <w:tcW w:w="74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1.59%</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0" w:type="dxa"/>
            <w:vAlign w:val="bottom"/>
          </w:tcPr>
          <w:p>
            <w:pPr>
              <w:spacing w:after="0"/>
              <w:rPr>
                <w:sz w:val="17"/>
                <w:szCs w:val="17"/>
                <w:color w:val="auto"/>
              </w:rPr>
            </w:pPr>
          </w:p>
        </w:tc>
      </w:tr>
      <w:tr>
        <w:trPr>
          <w:trHeight w:val="203"/>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377</w:t>
            </w:r>
          </w:p>
        </w:tc>
        <w:tc>
          <w:tcPr>
            <w:tcW w:w="7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1.20%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0" w:type="dxa"/>
            <w:vAlign w:val="bottom"/>
          </w:tcPr>
          <w:p>
            <w:pPr>
              <w:spacing w:after="0"/>
              <w:rPr>
                <w:sz w:val="17"/>
                <w:szCs w:val="17"/>
                <w:color w:val="auto"/>
              </w:rPr>
            </w:pPr>
          </w:p>
        </w:tc>
      </w:tr>
      <w:tr>
        <w:trPr>
          <w:trHeight w:val="20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391</w:t>
            </w: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0" w:type="dxa"/>
            <w:vAlign w:val="bottom"/>
          </w:tcPr>
          <w:p>
            <w:pPr>
              <w:spacing w:after="0"/>
              <w:rPr>
                <w:sz w:val="17"/>
                <w:szCs w:val="17"/>
                <w:color w:val="auto"/>
              </w:rPr>
            </w:pPr>
          </w:p>
        </w:tc>
      </w:tr>
      <w:tr>
        <w:trPr>
          <w:trHeight w:val="202"/>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435</w:t>
            </w:r>
          </w:p>
        </w:tc>
        <w:tc>
          <w:tcPr>
            <w:tcW w:w="7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1.24%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0" w:type="dxa"/>
            <w:vAlign w:val="bottom"/>
          </w:tcPr>
          <w:p>
            <w:pPr>
              <w:spacing w:after="0"/>
              <w:rPr>
                <w:sz w:val="17"/>
                <w:szCs w:val="17"/>
                <w:color w:val="auto"/>
              </w:rPr>
            </w:pPr>
          </w:p>
        </w:tc>
      </w:tr>
      <w:tr>
        <w:trPr>
          <w:trHeight w:val="20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271</w:t>
            </w: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0.69%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20" w:type="dxa"/>
            <w:vAlign w:val="bottom"/>
          </w:tcPr>
          <w:p>
            <w:pPr>
              <w:spacing w:after="0"/>
              <w:rPr>
                <w:sz w:val="17"/>
                <w:szCs w:val="17"/>
                <w:color w:val="auto"/>
              </w:rPr>
            </w:pPr>
          </w:p>
        </w:tc>
      </w:tr>
      <w:tr>
        <w:trPr>
          <w:trHeight w:val="203"/>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2024</w:t>
            </w: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1"/>
              </w:rPr>
              <w:t>112</w:t>
            </w:r>
          </w:p>
        </w:tc>
        <w:tc>
          <w:tcPr>
            <w:tcW w:w="7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0.19%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0" w:type="dxa"/>
            <w:vAlign w:val="bottom"/>
          </w:tcPr>
          <w:p>
            <w:pPr>
              <w:spacing w:after="0"/>
              <w:rPr>
                <w:sz w:val="17"/>
                <w:szCs w:val="17"/>
                <w:color w:val="auto"/>
              </w:rPr>
            </w:pPr>
          </w:p>
        </w:tc>
      </w:tr>
      <w:tr>
        <w:trPr>
          <w:trHeight w:val="20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2024</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130</w:t>
            </w: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0.35%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20" w:type="dxa"/>
            <w:vAlign w:val="bottom"/>
          </w:tcPr>
          <w:p>
            <w:pPr>
              <w:spacing w:after="0"/>
              <w:rPr>
                <w:sz w:val="17"/>
                <w:szCs w:val="17"/>
                <w:color w:val="auto"/>
              </w:rPr>
            </w:pPr>
          </w:p>
        </w:tc>
      </w:tr>
      <w:tr>
        <w:trPr>
          <w:trHeight w:val="203"/>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March 31, 2024</w:t>
            </w: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color w:val="auto"/>
                <w:w w:val="99"/>
              </w:rPr>
              <w:t>186</w:t>
            </w:r>
          </w:p>
        </w:tc>
        <w:tc>
          <w:tcPr>
            <w:tcW w:w="7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0.52%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20" w:type="dxa"/>
            <w:vAlign w:val="bottom"/>
          </w:tcPr>
          <w:p>
            <w:pPr>
              <w:spacing w:after="0"/>
              <w:rPr>
                <w:sz w:val="17"/>
                <w:szCs w:val="17"/>
                <w:color w:val="auto"/>
              </w:rPr>
            </w:pPr>
          </w:p>
        </w:tc>
      </w:tr>
      <w:tr>
        <w:trPr>
          <w:trHeight w:val="196"/>
        </w:trPr>
        <w:tc>
          <w:tcPr>
            <w:tcW w:w="1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1,632</w:t>
            </w:r>
          </w:p>
        </w:tc>
        <w:tc>
          <w:tcPr>
            <w:tcW w:w="7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1.28%</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0" w:type="dxa"/>
            <w:vAlign w:val="bottom"/>
          </w:tcPr>
          <w:p>
            <w:pPr>
              <w:spacing w:after="0"/>
              <w:rPr>
                <w:sz w:val="17"/>
                <w:szCs w:val="17"/>
                <w:color w:val="auto"/>
              </w:rPr>
            </w:pPr>
          </w:p>
        </w:tc>
      </w:tr>
      <w:tr>
        <w:trPr>
          <w:trHeight w:val="20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699</w:t>
            </w: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0.45%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20" w:type="dxa"/>
            <w:vAlign w:val="bottom"/>
          </w:tcPr>
          <w:p>
            <w:pPr>
              <w:spacing w:after="0"/>
              <w:rPr>
                <w:sz w:val="17"/>
                <w:szCs w:val="17"/>
                <w:color w:val="auto"/>
              </w:rPr>
            </w:pPr>
          </w:p>
        </w:tc>
      </w:tr>
    </w:tbl>
    <w:p>
      <w:pPr>
        <w:spacing w:after="0" w:line="202" w:lineRule="exact"/>
        <w:rPr>
          <w:sz w:val="20"/>
          <w:szCs w:val="20"/>
          <w:color w:val="auto"/>
        </w:rPr>
      </w:pPr>
    </w:p>
    <w:p>
      <w:pPr>
        <w:ind w:left="340" w:right="640" w:hanging="332"/>
        <w:spacing w:after="0" w:line="269"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Portfolio yields and costs of borrowings presented in the tables above and the tables on page 41 are calculated based on the average balances of the underlying investment portfolio/repurchase agreement balances and are annualized for the periods presented.</w:t>
      </w:r>
    </w:p>
    <w:p>
      <w:pPr>
        <w:ind w:left="340" w:right="100" w:hanging="332"/>
        <w:spacing w:after="0" w:line="264"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interest expense and economic net interest income presented in the tables above and the tables on page 41 include the effect of derivative instrument hedges for only the period presented.</w:t>
      </w:r>
    </w:p>
    <w:p>
      <w:pPr>
        <w:ind w:left="340" w:right="140" w:hanging="332"/>
        <w:spacing w:after="0" w:line="264"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interest cost of our borrowings and the effect of derivative instrument hedges attributed to the period related to hedging activities divided by average MBS held.</w:t>
      </w:r>
    </w:p>
    <w:p>
      <w:pPr>
        <w:ind w:left="340" w:hanging="332"/>
        <w:spacing w:after="0"/>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net interest spread is calculated by subtracting average economic cost of funds from yield on average MBS.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Funds</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Since all of our repurchase agreements are short-term, changes in market rates directly affect our interest expense. Our average cost of funds calculated on a GAAP basis was 28 bps above the one-month average SOFR and 10 bps above the six-month average SOFR for the year ended December 31, 2025. Our average economic cost of funds was 13 bps below the one-month average SOFR and 31 bps below the six-month average SOFR for the year ended December 31, 2025. The average term to maturity of the outstanding repurchase agreements decreased to 31 days as of December 31, 2025 from 49 days as of December 31, 2024.</w:t>
      </w:r>
    </w:p>
    <w:p>
      <w:pPr>
        <w:spacing w:after="0" w:line="18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one-month average and six-month average SOFR rates for each quarter in 2025 and 2024 and for the years ended December 31, 2025 and 2024 on both a GAAP and economic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Average GAAP Cost of Funds</w:t>
            </w:r>
          </w:p>
        </w:tc>
        <w:tc>
          <w:tcPr>
            <w:tcW w:w="10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Average Economic Cost of Funds</w:t>
            </w:r>
          </w:p>
        </w:tc>
      </w:tr>
      <w:tr>
        <w:trPr>
          <w:trHeight w:val="212"/>
        </w:trPr>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Borders>
              <w:bottom w:val="single" w:sz="8" w:color="auto"/>
            </w:tcBorders>
            <w:gridSpan w:val="2"/>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Relative to Average</w:t>
            </w:r>
          </w:p>
        </w:tc>
        <w:tc>
          <w:tcPr>
            <w:tcW w:w="100" w:type="dxa"/>
            <w:vAlign w:val="bottom"/>
          </w:tcPr>
          <w:p>
            <w:pPr>
              <w:spacing w:after="0"/>
              <w:rPr>
                <w:sz w:val="18"/>
                <w:szCs w:val="18"/>
                <w:color w:val="auto"/>
              </w:rPr>
            </w:pPr>
          </w:p>
        </w:tc>
        <w:tc>
          <w:tcPr>
            <w:tcW w:w="2700" w:type="dxa"/>
            <w:vAlign w:val="bottom"/>
            <w:tcBorders>
              <w:bottom w:val="single" w:sz="8" w:color="auto"/>
            </w:tcBorders>
            <w:gridSpan w:val="2"/>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Relative to Average</w:t>
            </w:r>
          </w:p>
        </w:tc>
      </w:tr>
      <w:tr>
        <w:trPr>
          <w:trHeight w:val="202"/>
        </w:trPr>
        <w:tc>
          <w:tcPr>
            <w:tcW w:w="3180" w:type="dxa"/>
            <w:vAlign w:val="bottom"/>
          </w:tcPr>
          <w:p>
            <w:pPr>
              <w:spacing w:after="0"/>
              <w:rPr>
                <w:sz w:val="17"/>
                <w:szCs w:val="17"/>
                <w:color w:val="auto"/>
              </w:rPr>
            </w:pPr>
          </w:p>
        </w:tc>
        <w:tc>
          <w:tcPr>
            <w:tcW w:w="2600" w:type="dxa"/>
            <w:vAlign w:val="bottom"/>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Average SOFR</w:t>
            </w:r>
          </w:p>
        </w:tc>
        <w:tc>
          <w:tcPr>
            <w:tcW w:w="14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One-Month</w:t>
            </w:r>
          </w:p>
        </w:tc>
        <w:tc>
          <w:tcPr>
            <w:tcW w:w="12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Six-Month</w:t>
            </w:r>
          </w:p>
        </w:tc>
        <w:tc>
          <w:tcPr>
            <w:tcW w:w="100" w:type="dxa"/>
            <w:vAlign w:val="bottom"/>
          </w:tcPr>
          <w:p>
            <w:pPr>
              <w:spacing w:after="0"/>
              <w:rPr>
                <w:sz w:val="17"/>
                <w:szCs w:val="17"/>
                <w:color w:val="auto"/>
              </w:rPr>
            </w:pPr>
          </w:p>
        </w:tc>
        <w:tc>
          <w:tcPr>
            <w:tcW w:w="14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One-Month</w:t>
            </w:r>
          </w:p>
        </w:tc>
        <w:tc>
          <w:tcPr>
            <w:tcW w:w="12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Six-Month</w:t>
            </w:r>
          </w:p>
        </w:tc>
      </w:tr>
      <w:tr>
        <w:trPr>
          <w:trHeight w:val="19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3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One-Month</w:t>
            </w:r>
          </w:p>
        </w:tc>
        <w:tc>
          <w:tcPr>
            <w:tcW w:w="11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Six-Month</w:t>
            </w: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SOFR</w:t>
            </w: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SOFR</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SOFR</w:t>
            </w:r>
          </w:p>
        </w:tc>
        <w:tc>
          <w:tcPr>
            <w:tcW w:w="12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SOFR</w:t>
            </w:r>
          </w:p>
        </w:tc>
      </w:tr>
      <w:tr>
        <w:trPr>
          <w:trHeight w:val="19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4.20%</w:t>
            </w: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4.37%</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0.28%</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(0.15)%</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4.32%</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4.37%</w:t>
            </w: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5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(0.35)%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4.55%</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0.16%</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(0.20)%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4.53%</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5.03%</w:t>
            </w: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2024</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5.37%</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0.45%</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0.59%</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0.38%</w:t>
            </w: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2024</w:t>
            </w: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5.34%</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5.39%</w:t>
            </w: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5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(0.02)%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203"/>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March 31, 2024</w:t>
            </w: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5.32%</w:t>
            </w:r>
          </w:p>
        </w:tc>
        <w:tc>
          <w:tcPr>
            <w:tcW w:w="1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5.39%</w:t>
            </w: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0.31%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54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0.22%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196"/>
        </w:trPr>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1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r>
      <w:tr>
        <w:trPr>
          <w:trHeight w:val="196"/>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4.19%</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4.37%</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0.28%</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(0.13)%</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5.09%</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5.30%</w:t>
            </w: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Income from Orchid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owned 569,071 shares of Orchid common stock throughout each of the years ended December 31, 2025 and 2024. Orchid paid total dividends of $1.44 per share during 2025 and $1.44 per share during 2024. During the years ended December 31, 2025 and 2024, we received dividends on our Orchid common stock of approximately $0.8 million and $0.8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Junior Subordinated Debt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junior subordinated debt securities pay interest at a floating rate. The interest rate is the CME Term SOFR on the applicable reset date plus the tenor spread adjustment of 0.26161% plus the coupon spread of 3.50%. Interest expense on our junior subordinated debt securities was approximately $2.1 million and $2.4 million for the years ended December 31, 2025 and 2024, respectively. The average rate of interest paid for the year ended December 31, 2025 was 7.94% compared to 8.97% for the year ended December 31, 2024. As of December 31, 2025, the interest rate was 7.48%.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Payable</w:t>
      </w:r>
    </w:p>
    <w:p>
      <w:pPr>
        <w:spacing w:after="0" w:line="227"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On October 30, 2019, the Company borrowed $680,000 from a bank. The related note is secured by a mortgage on the Company’s office building and has a final maturity of October 30, 2039. Through October 30, 2024, interest accrued on the note at 4.89%. Thereafter, interest accrues based on the weekly average yield to the United States Treasury securities adjusted to a constant maturity of 5 years, plus 3.25%. The interest rate reset to 7.37% on October 30, 2024 and will reset again on October 30, 2029.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Gains or Losses and Other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our gains or losses and other income for the years ended December 31, 2025 and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00" w:type="dxa"/>
            <w:vAlign w:val="bottom"/>
            <w:tcBorders>
              <w:top w:val="single" w:sz="8" w:color="auto"/>
              <w:bottom w:val="single" w:sz="8" w:color="auto"/>
            </w:tcBorders>
          </w:tcPr>
          <w:p>
            <w:pPr>
              <w:spacing w:after="0"/>
              <w:rPr>
                <w:sz w:val="17"/>
                <w:szCs w:val="17"/>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losses on sales of MBS</w:t>
            </w:r>
          </w:p>
        </w:tc>
        <w:tc>
          <w:tcPr>
            <w:tcW w:w="20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w:t>
            </w:r>
          </w:p>
        </w:tc>
        <w:tc>
          <w:tcPr>
            <w:tcW w:w="106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343</w:t>
            </w:r>
          </w:p>
        </w:tc>
      </w:tr>
      <w:tr>
        <w:trPr>
          <w:trHeight w:val="203"/>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Unrealized gains (losses) on MBS</w:t>
            </w:r>
          </w:p>
        </w:tc>
        <w:tc>
          <w:tcPr>
            <w:tcW w:w="2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2,688</w:t>
            </w: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2,997</w:t>
            </w:r>
          </w:p>
        </w:tc>
      </w:tr>
      <w:tr>
        <w:trPr>
          <w:trHeight w:val="19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gains (losses) on MBS</w:t>
            </w:r>
          </w:p>
        </w:tc>
        <w:tc>
          <w:tcPr>
            <w:tcW w:w="20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2,469</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3,340</w:t>
            </w: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(Losses) gains on derivative instruments</w:t>
            </w:r>
          </w:p>
        </w:tc>
        <w:tc>
          <w:tcPr>
            <w:tcW w:w="208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(1,934)</w:t>
            </w:r>
          </w:p>
        </w:tc>
        <w:tc>
          <w:tcPr>
            <w:tcW w:w="1060" w:type="dxa"/>
            <w:vAlign w:val="bottom"/>
          </w:tcPr>
          <w:p>
            <w:pPr>
              <w:spacing w:after="0"/>
              <w:rPr>
                <w:sz w:val="17"/>
                <w:szCs w:val="17"/>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2,407</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w:t>
            </w:r>
          </w:p>
        </w:tc>
      </w:tr>
      <w:tr>
        <w:trPr>
          <w:trHeight w:val="203"/>
        </w:trPr>
        <w:tc>
          <w:tcPr>
            <w:tcW w:w="5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losses on Orchid Island Capital, Inc. common stock</w:t>
            </w:r>
          </w:p>
        </w:tc>
        <w:tc>
          <w:tcPr>
            <w:tcW w:w="20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(330)</w:t>
            </w:r>
          </w:p>
        </w:tc>
        <w:tc>
          <w:tcPr>
            <w:tcW w:w="10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r>
    </w:tbl>
    <w:p>
      <w:pPr>
        <w:spacing w:after="0" w:line="19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invest in MBS with the intent to earn net income from the realized yield on those assets over their related funding and hedging costs, and not for the purpose of making short term gains from trading in these securities. However, we have sold, and may sell in the future, existing assets to acquire new assets, which our management believes might have higher risk-adjusted returns in light of current or anticipated interest rates, federal government programs or general economic conditions or to manage our balance sheet as part of our asset/liability management strategy. During the year ended December 31, 2025, we received proceeds of $19.5 million from the sales of MBS compared to $46.3 million for the year ended December 31,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fair value of our MBS portfolio and derivative instruments, and the gains (losses) reported on those financial instruments, are driven in part by changes in yields and interest rates, the spreads that MBS trade relative to comparable duration U.S. Treasuries or swaps, as well as varying levels of demand for MBS, which affect the pricing of the securities in our portfolio. The unrealized gains and losses on MBS may also include the premium lost as a result of prepayments on the underlying mortgages, decreasing unrealized gains or increasing unrealized losses as prepayment speeds or premiums increase. To the extent MBS are carried at a discount to par, unrealized gains or losses on MBS would also include discount accreted as a result of prepayments on the underlying mortgages, increasing unrealized gains or decreasing unrealized losses as speeds on discounts increase. Gains and losses on interest rate futures contracts are affected by changes in implied forward rates during the reporting period. The table below presents historical interest rate data for each quarter end during 2025 and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0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15 Year</w:t>
            </w:r>
          </w:p>
        </w:tc>
        <w:tc>
          <w:tcPr>
            <w:tcW w:w="194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30 Year</w:t>
            </w: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90 Day</w:t>
            </w:r>
          </w:p>
        </w:tc>
      </w:tr>
      <w:tr>
        <w:trPr>
          <w:trHeight w:val="202"/>
        </w:trPr>
        <w:tc>
          <w:tcPr>
            <w:tcW w:w="2000" w:type="dxa"/>
            <w:vAlign w:val="bottom"/>
          </w:tcPr>
          <w:p>
            <w:pPr>
              <w:spacing w:after="0"/>
              <w:rPr>
                <w:sz w:val="17"/>
                <w:szCs w:val="17"/>
                <w:color w:val="auto"/>
              </w:rPr>
            </w:pPr>
          </w:p>
        </w:tc>
        <w:tc>
          <w:tcPr>
            <w:tcW w:w="218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w w:val="96"/>
              </w:rPr>
              <w:t>5 Year</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10 Year</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Fixed-Rate</w:t>
            </w:r>
          </w:p>
        </w:tc>
        <w:tc>
          <w:tcPr>
            <w:tcW w:w="1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Fixed-Rate</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19"/>
        </w:trPr>
        <w:tc>
          <w:tcPr>
            <w:tcW w:w="20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left="299"/>
              <w:spacing w:after="0" w:line="220" w:lineRule="exact"/>
              <w:rPr>
                <w:sz w:val="20"/>
                <w:szCs w:val="20"/>
                <w:color w:val="auto"/>
              </w:rPr>
            </w:pPr>
            <w:r>
              <w:rPr>
                <w:rFonts w:ascii="Times New Roman" w:cs="Times New Roman" w:eastAsia="Times New Roman" w:hAnsi="Times New Roman"/>
                <w:sz w:val="16"/>
                <w:szCs w:val="16"/>
                <w:b w:val="1"/>
                <w:bCs w:val="1"/>
                <w:color w:val="auto"/>
                <w:w w:val="97"/>
              </w:rPr>
              <w:t>Treasury Rate</w:t>
            </w:r>
            <w:r>
              <w:rPr>
                <w:rFonts w:ascii="Times New Roman" w:cs="Times New Roman" w:eastAsia="Times New Roman" w:hAnsi="Times New Roman"/>
                <w:sz w:val="25"/>
                <w:szCs w:val="25"/>
                <w:b w:val="1"/>
                <w:bCs w:val="1"/>
                <w:color w:val="auto"/>
                <w:w w:val="97"/>
                <w:vertAlign w:val="superscript"/>
              </w:rPr>
              <w:t>(1)</w:t>
            </w:r>
          </w:p>
        </w:tc>
        <w:tc>
          <w:tcPr>
            <w:tcW w:w="18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6"/>
              </w:rPr>
              <w:t>Treasury Rate</w:t>
            </w:r>
            <w:r>
              <w:rPr>
                <w:rFonts w:ascii="Times New Roman" w:cs="Times New Roman" w:eastAsia="Times New Roman" w:hAnsi="Times New Roman"/>
                <w:sz w:val="25"/>
                <w:szCs w:val="25"/>
                <w:b w:val="1"/>
                <w:bCs w:val="1"/>
                <w:color w:val="auto"/>
                <w:w w:val="96"/>
                <w:vertAlign w:val="superscript"/>
              </w:rPr>
              <w:t>(1)</w:t>
            </w:r>
          </w:p>
        </w:tc>
        <w:tc>
          <w:tcPr>
            <w:tcW w:w="18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8"/>
              </w:rPr>
              <w:t>Mortgage Rate</w:t>
            </w:r>
            <w:r>
              <w:rPr>
                <w:rFonts w:ascii="Times New Roman" w:cs="Times New Roman" w:eastAsia="Times New Roman" w:hAnsi="Times New Roman"/>
                <w:sz w:val="25"/>
                <w:szCs w:val="25"/>
                <w:b w:val="1"/>
                <w:bCs w:val="1"/>
                <w:color w:val="auto"/>
                <w:w w:val="98"/>
                <w:vertAlign w:val="superscript"/>
              </w:rPr>
              <w:t>(2)</w:t>
            </w:r>
          </w:p>
        </w:tc>
        <w:tc>
          <w:tcPr>
            <w:tcW w:w="1940" w:type="dxa"/>
            <w:vAlign w:val="bottom"/>
            <w:tcBorders>
              <w:bottom w:val="single" w:sz="8" w:color="auto"/>
            </w:tcBorders>
          </w:tcPr>
          <w:p>
            <w:pPr>
              <w:jc w:val="center"/>
              <w:ind w:right="59"/>
              <w:spacing w:after="0" w:line="220" w:lineRule="exact"/>
              <w:rPr>
                <w:sz w:val="20"/>
                <w:szCs w:val="20"/>
                <w:color w:val="auto"/>
              </w:rPr>
            </w:pPr>
            <w:r>
              <w:rPr>
                <w:rFonts w:ascii="Times New Roman" w:cs="Times New Roman" w:eastAsia="Times New Roman" w:hAnsi="Times New Roman"/>
                <w:sz w:val="16"/>
                <w:szCs w:val="16"/>
                <w:b w:val="1"/>
                <w:bCs w:val="1"/>
                <w:color w:val="auto"/>
                <w:w w:val="98"/>
              </w:rPr>
              <w:t>Mortgage Rate</w:t>
            </w:r>
            <w:r>
              <w:rPr>
                <w:rFonts w:ascii="Times New Roman" w:cs="Times New Roman" w:eastAsia="Times New Roman" w:hAnsi="Times New Roman"/>
                <w:sz w:val="25"/>
                <w:szCs w:val="25"/>
                <w:b w:val="1"/>
                <w:bCs w:val="1"/>
                <w:color w:val="auto"/>
                <w:w w:val="98"/>
                <w:vertAlign w:val="superscript"/>
              </w:rPr>
              <w:t>(2)</w:t>
            </w:r>
          </w:p>
        </w:tc>
        <w:tc>
          <w:tcPr>
            <w:tcW w:w="152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6"/>
              </w:rPr>
              <w:t>SOFR</w:t>
            </w:r>
            <w:r>
              <w:rPr>
                <w:rFonts w:ascii="Times New Roman" w:cs="Times New Roman" w:eastAsia="Times New Roman" w:hAnsi="Times New Roman"/>
                <w:sz w:val="25"/>
                <w:szCs w:val="25"/>
                <w:b w:val="1"/>
                <w:bCs w:val="1"/>
                <w:color w:val="auto"/>
                <w:w w:val="96"/>
                <w:vertAlign w:val="superscript"/>
              </w:rPr>
              <w:t>(3)</w:t>
            </w:r>
          </w:p>
        </w:tc>
      </w:tr>
      <w:tr>
        <w:trPr>
          <w:trHeight w:val="19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2180" w:type="dxa"/>
            <w:vAlign w:val="bottom"/>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3.72%</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4.16%</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5.44%</w:t>
            </w:r>
          </w:p>
        </w:tc>
        <w:tc>
          <w:tcPr>
            <w:tcW w:w="194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6.15%</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4.01%</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21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3.73%</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4.15%</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5.49%</w:t>
            </w:r>
          </w:p>
        </w:tc>
        <w:tc>
          <w:tcPr>
            <w:tcW w:w="19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6.30%</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4.35%</w:t>
            </w: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2180" w:type="dxa"/>
            <w:vAlign w:val="bottom"/>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3.80%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4.23%</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5.89%</w:t>
            </w:r>
          </w:p>
        </w:tc>
        <w:tc>
          <w:tcPr>
            <w:tcW w:w="194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6.77%</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4.34%</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21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3.98%</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4.25%</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5.89%</w:t>
            </w:r>
          </w:p>
        </w:tc>
        <w:tc>
          <w:tcPr>
            <w:tcW w:w="19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6.65%</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4.35%</w:t>
            </w: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2180" w:type="dxa"/>
            <w:vAlign w:val="bottom"/>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4.38%</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4.57%</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6.00%</w:t>
            </w:r>
          </w:p>
        </w:tc>
        <w:tc>
          <w:tcPr>
            <w:tcW w:w="194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6.85%</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4.69%</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2024</w:t>
            </w:r>
          </w:p>
        </w:tc>
        <w:tc>
          <w:tcPr>
            <w:tcW w:w="21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3.58%</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3.80%</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5.16%</w:t>
            </w:r>
          </w:p>
        </w:tc>
        <w:tc>
          <w:tcPr>
            <w:tcW w:w="19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6.08%</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5.31%</w:t>
            </w: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2024</w:t>
            </w:r>
          </w:p>
        </w:tc>
        <w:tc>
          <w:tcPr>
            <w:tcW w:w="2180" w:type="dxa"/>
            <w:vAlign w:val="bottom"/>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4.33%</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4.34%</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6.16%</w:t>
            </w:r>
          </w:p>
        </w:tc>
        <w:tc>
          <w:tcPr>
            <w:tcW w:w="1940" w:type="dxa"/>
            <w:vAlign w:val="bottom"/>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6.86%</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5.35%</w:t>
            </w:r>
          </w:p>
        </w:tc>
      </w:tr>
      <w:tr>
        <w:trPr>
          <w:trHeight w:val="210"/>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March 31, 2024</w:t>
            </w:r>
          </w:p>
        </w:tc>
        <w:tc>
          <w:tcPr>
            <w:tcW w:w="21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4.22%</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4.21%</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6.11%</w:t>
            </w:r>
          </w:p>
        </w:tc>
        <w:tc>
          <w:tcPr>
            <w:tcW w:w="19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6.79%</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5.31%</w:t>
            </w:r>
          </w:p>
        </w:tc>
      </w:tr>
    </w:tbl>
    <w:p>
      <w:pPr>
        <w:spacing w:after="0" w:line="194"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5 Year and 10 Year Treasury Rates are obtained from quoted end of day prices on the Chicago Board Options Exchange.</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30 Year and 15 Year Fixed Rate Mortgage Rates are obtained from Freddie Mac’s Primary Mortgage Market Survey.</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SOFR is obtained from the Federal Reserve Bank of New York.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our total operating expenses were approximately $12.6 million compared to approximately $11.3 million for the year ended December 31, 2024 as detailed in the table below.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40" w:type="dxa"/>
            <w:vAlign w:val="bottom"/>
            <w:tcBorders>
              <w:top w:val="single" w:sz="8" w:color="auto"/>
              <w:bottom w:val="single" w:sz="8" w:color="auto"/>
            </w:tcBorders>
          </w:tcPr>
          <w:p>
            <w:pPr>
              <w:spacing w:after="0"/>
              <w:rPr>
                <w:sz w:val="17"/>
                <w:szCs w:val="17"/>
                <w:color w:val="auto"/>
              </w:rPr>
            </w:pPr>
          </w:p>
        </w:tc>
        <w:tc>
          <w:tcPr>
            <w:tcW w:w="2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84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8,310</w:t>
            </w:r>
          </w:p>
        </w:tc>
        <w:tc>
          <w:tcPr>
            <w:tcW w:w="4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7,287</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1,023</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Direct advisory services costs</w:t>
            </w:r>
          </w:p>
        </w:tc>
        <w:tc>
          <w:tcPr>
            <w:tcW w:w="284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1,695</w:t>
            </w:r>
          </w:p>
        </w:tc>
        <w:tc>
          <w:tcPr>
            <w:tcW w:w="44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1,667</w:t>
            </w:r>
          </w:p>
        </w:tc>
        <w:tc>
          <w:tcPr>
            <w:tcW w:w="3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r>
      <w:tr>
        <w:trPr>
          <w:trHeight w:val="20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legal and other professional fees</w:t>
            </w:r>
          </w:p>
        </w:tc>
        <w:tc>
          <w:tcPr>
            <w:tcW w:w="28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1,124</w:t>
            </w: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654</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470</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Directors’ fees and liability insurance</w:t>
            </w:r>
          </w:p>
        </w:tc>
        <w:tc>
          <w:tcPr>
            <w:tcW w:w="284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872</w:t>
            </w:r>
          </w:p>
        </w:tc>
        <w:tc>
          <w:tcPr>
            <w:tcW w:w="44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841</w:t>
            </w:r>
          </w:p>
        </w:tc>
        <w:tc>
          <w:tcPr>
            <w:tcW w:w="3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r>
      <w:tr>
        <w:trPr>
          <w:trHeight w:val="203"/>
        </w:trPr>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Administrative and other expenses</w:t>
            </w:r>
          </w:p>
        </w:tc>
        <w:tc>
          <w:tcPr>
            <w:tcW w:w="28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603</w:t>
            </w:r>
          </w:p>
        </w:tc>
        <w:tc>
          <w:tcPr>
            <w:tcW w:w="4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809</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196"/>
        </w:trPr>
        <w:tc>
          <w:tcPr>
            <w:tcW w:w="44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12,604</w:t>
            </w:r>
          </w:p>
        </w:tc>
        <w:tc>
          <w:tcPr>
            <w:tcW w:w="4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11,258</w:t>
            </w:r>
          </w:p>
        </w:tc>
        <w:tc>
          <w:tcPr>
            <w:tcW w:w="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1,346</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2025, we recorded an income tax benefit of $1.3 million, including a $3.7 million decrease in the deferred tax asset valuation allowance as a result of management’s reassessment, as of December 31, 2025, of the Company’s ability to utilize tax NOLs to offset future taxable income. During 2025, Orchid raised approximately $741.4 million in new capital. This increase in Orchid's equity should increase Bimini's future management fee revenues, allowing the Company to utilize more of its tax NOLs. In 2024, we recorded an income tax provision of $3.1 million, including a $1.3 million increase in the deferred tax asset valuation allowance as a result of management’s reassessment, as of December 31, 2024, of the Company’s ability to utilize NOLs to offset future taxable income. The Company uses the discrete-period computation method for determining its income tax (benefit) provision. Our income tax provision is affected by numerous factors, including non-deductible expenses, the projected utilization of net operating loss carryovers and changes in our deferred tax assets and liabilities and their valuations, and can result in significant variations in the customary relationship between pretax income and income tax expense. Non-deductible expenses, including executive compensation in excess of Section 162(m) limitations increased the income tax provision by $0.8 million and $0.9 million for the years ended December 31, 2025 and 2024, respectively.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Mortgage-Backed Securities</w:t>
      </w:r>
    </w:p>
    <w:p>
      <w:pPr>
        <w:spacing w:after="0" w:line="229" w:lineRule="exact"/>
        <w:rPr>
          <w:sz w:val="20"/>
          <w:szCs w:val="20"/>
          <w:color w:val="auto"/>
        </w:rPr>
      </w:pPr>
    </w:p>
    <w:p>
      <w:pPr>
        <w:ind w:right="300" w:firstLine="324"/>
        <w:spacing w:after="0" w:line="289" w:lineRule="auto"/>
        <w:rPr>
          <w:sz w:val="20"/>
          <w:szCs w:val="20"/>
          <w:color w:val="auto"/>
        </w:rPr>
      </w:pPr>
      <w:r>
        <w:rPr>
          <w:rFonts w:ascii="Times New Roman" w:cs="Times New Roman" w:eastAsia="Times New Roman" w:hAnsi="Times New Roman"/>
          <w:sz w:val="17"/>
          <w:szCs w:val="17"/>
          <w:color w:val="auto"/>
        </w:rPr>
        <w:t>As of December 31, 2025, our MBS portfolio consisted of $88.9 million of agency or government MBS at fair value and had a weighted average coupon of 5.73%. During the year ended December 31, 2025, we received principal repayments of $16.4 million compared to $13.4 million for the year ended December 31, 2024. The average prepayment speeds for the quarters ended December 31, 2025 and 2024 were 16.6% and 11.1%, respectively.</w:t>
      </w:r>
    </w:p>
    <w:p>
      <w:pPr>
        <w:spacing w:after="0" w:line="158"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three-month constant prepayment rate (“CPR”) experienced on our portfolio, on an annualized basis, for the quarterly periods presented. CPR is a method of expressing the prepayment rate for a mortgage pool that assumes that a constant fraction of the remaining principal is prepaid each month or year. Specifically, the CPR in the chart below represents the three month prepayment rate of the securities.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55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5"/>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5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Portfolio (%)</w:t>
            </w:r>
          </w:p>
        </w:tc>
      </w:tr>
      <w:tr>
        <w:trPr>
          <w:trHeight w:val="19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5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5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16.8</w:t>
            </w:r>
          </w:p>
        </w:tc>
      </w:tr>
      <w:tr>
        <w:trPr>
          <w:trHeight w:val="20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5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5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w:t>
            </w:r>
          </w:p>
        </w:tc>
      </w:tr>
      <w:tr>
        <w:trPr>
          <w:trHeight w:val="20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5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2024</w:t>
            </w:r>
          </w:p>
        </w:tc>
        <w:tc>
          <w:tcPr>
            <w:tcW w:w="5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w:t>
            </w:r>
          </w:p>
        </w:tc>
      </w:tr>
      <w:tr>
        <w:trPr>
          <w:trHeight w:val="20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2024</w:t>
            </w:r>
          </w:p>
        </w:tc>
        <w:tc>
          <w:tcPr>
            <w:tcW w:w="5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r>
      <w:tr>
        <w:trPr>
          <w:trHeight w:val="203"/>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March 31, 2024</w:t>
            </w:r>
          </w:p>
        </w:tc>
        <w:tc>
          <w:tcPr>
            <w:tcW w:w="55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16.5</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certain characteristics of our PT MBS and structured MBS as of December 31, 2025 and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of</w:t>
            </w:r>
          </w:p>
        </w:tc>
        <w:tc>
          <w:tcPr>
            <w:tcW w:w="14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7"/>
                <w:szCs w:val="17"/>
                <w:color w:val="auto"/>
              </w:rPr>
            </w:pPr>
          </w:p>
        </w:tc>
        <w:tc>
          <w:tcPr>
            <w:tcW w:w="112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2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80" w:type="dxa"/>
            <w:vAlign w:val="bottom"/>
          </w:tcPr>
          <w:p>
            <w:pPr>
              <w:spacing w:after="0"/>
              <w:rPr>
                <w:sz w:val="17"/>
                <w:szCs w:val="17"/>
                <w:color w:val="auto"/>
              </w:rPr>
            </w:pPr>
          </w:p>
        </w:tc>
        <w:tc>
          <w:tcPr>
            <w:tcW w:w="112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Entire</w:t>
            </w:r>
          </w:p>
        </w:tc>
        <w:tc>
          <w:tcPr>
            <w:tcW w:w="14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7"/>
                <w:szCs w:val="17"/>
                <w:color w:val="auto"/>
              </w:rPr>
            </w:pPr>
          </w:p>
        </w:tc>
        <w:tc>
          <w:tcPr>
            <w:tcW w:w="112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in</w:t>
            </w: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Longest</w:t>
            </w:r>
          </w:p>
        </w:tc>
      </w:tr>
      <w:tr>
        <w:trPr>
          <w:trHeight w:val="210"/>
        </w:trPr>
        <w:tc>
          <w:tcPr>
            <w:tcW w:w="2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Value</w:t>
            </w:r>
          </w:p>
        </w:tc>
        <w:tc>
          <w:tcPr>
            <w:tcW w:w="280" w:type="dxa"/>
            <w:vAlign w:val="bottom"/>
          </w:tcPr>
          <w:p>
            <w:pPr>
              <w:spacing w:after="0"/>
              <w:rPr>
                <w:sz w:val="18"/>
                <w:szCs w:val="18"/>
                <w:color w:val="auto"/>
              </w:rPr>
            </w:pPr>
          </w:p>
        </w:tc>
        <w:tc>
          <w:tcPr>
            <w:tcW w:w="1120" w:type="dxa"/>
            <w:vAlign w:val="bottom"/>
          </w:tcPr>
          <w:p>
            <w:pPr>
              <w:jc w:val="center"/>
              <w:ind w:right="379"/>
              <w:spacing w:after="0"/>
              <w:rPr>
                <w:sz w:val="20"/>
                <w:szCs w:val="20"/>
                <w:color w:val="auto"/>
              </w:rPr>
            </w:pPr>
            <w:r>
              <w:rPr>
                <w:rFonts w:ascii="Times New Roman" w:cs="Times New Roman" w:eastAsia="Times New Roman" w:hAnsi="Times New Roman"/>
                <w:sz w:val="16"/>
                <w:szCs w:val="16"/>
                <w:color w:val="auto"/>
              </w:rPr>
              <w:t>Portfolio</w:t>
            </w:r>
          </w:p>
        </w:tc>
        <w:tc>
          <w:tcPr>
            <w:tcW w:w="140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Coupon</w:t>
            </w:r>
          </w:p>
        </w:tc>
        <w:tc>
          <w:tcPr>
            <w:tcW w:w="160" w:type="dxa"/>
            <w:vAlign w:val="bottom"/>
          </w:tcPr>
          <w:p>
            <w:pPr>
              <w:spacing w:after="0"/>
              <w:rPr>
                <w:sz w:val="18"/>
                <w:szCs w:val="18"/>
                <w:color w:val="auto"/>
              </w:rPr>
            </w:pPr>
          </w:p>
        </w:tc>
        <w:tc>
          <w:tcPr>
            <w:tcW w:w="112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Months</w:t>
            </w: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Maturity</w:t>
            </w:r>
          </w:p>
        </w:tc>
      </w:tr>
      <w:tr>
        <w:trPr>
          <w:trHeight w:val="208"/>
        </w:trPr>
        <w:tc>
          <w:tcPr>
            <w:tcW w:w="2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88,929</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w:t>
            </w:r>
          </w:p>
        </w:tc>
        <w:tc>
          <w:tcPr>
            <w:tcW w:w="14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5.73%</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331</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1-Aug-54</w:t>
            </w:r>
          </w:p>
        </w:tc>
        <w:tc>
          <w:tcPr>
            <w:tcW w:w="20" w:type="dxa"/>
            <w:vAlign w:val="bottom"/>
          </w:tcPr>
          <w:p>
            <w:pPr>
              <w:spacing w:after="0"/>
              <w:rPr>
                <w:sz w:val="18"/>
                <w:szCs w:val="18"/>
                <w:color w:val="auto"/>
              </w:rPr>
            </w:pPr>
          </w:p>
        </w:tc>
      </w:tr>
      <w:tr>
        <w:trPr>
          <w:trHeight w:val="204"/>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122,348</w:t>
            </w:r>
          </w:p>
        </w:tc>
        <w:tc>
          <w:tcPr>
            <w:tcW w:w="2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w:t>
            </w: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5.26%</w:t>
            </w:r>
          </w:p>
        </w:tc>
        <w:tc>
          <w:tcPr>
            <w:tcW w:w="160" w:type="dxa"/>
            <w:vAlign w:val="bottom"/>
          </w:tcPr>
          <w:p>
            <w:pPr>
              <w:spacing w:after="0"/>
              <w:rPr>
                <w:sz w:val="17"/>
                <w:szCs w:val="17"/>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340</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1-Jan-55</w:t>
            </w:r>
          </w:p>
        </w:tc>
        <w:tc>
          <w:tcPr>
            <w:tcW w:w="20" w:type="dxa"/>
            <w:vAlign w:val="bottom"/>
          </w:tcPr>
          <w:p>
            <w:pPr>
              <w:spacing w:after="0"/>
              <w:rPr>
                <w:sz w:val="17"/>
                <w:szCs w:val="17"/>
                <w:color w:val="auto"/>
              </w:rPr>
            </w:pPr>
          </w:p>
        </w:tc>
      </w:tr>
      <w:tr>
        <w:trPr>
          <w:trHeight w:val="405"/>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8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29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2"/>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2"/>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17"/>
                <w:szCs w:val="17"/>
                <w:color w:val="auto"/>
              </w:rPr>
            </w:pPr>
          </w:p>
        </w:tc>
      </w:tr>
      <w:tr>
        <w:trPr>
          <w:trHeight w:val="180"/>
        </w:trPr>
        <w:tc>
          <w:tcPr>
            <w:tcW w:w="2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tcPr>
          <w:p>
            <w:pPr>
              <w:jc w:val="right"/>
              <w:ind w:right="199"/>
              <w:spacing w:after="0" w:line="181"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20" w:type="dxa"/>
            <w:vAlign w:val="bottom"/>
          </w:tcPr>
          <w:p>
            <w:pPr>
              <w:spacing w:after="0"/>
              <w:rPr>
                <w:sz w:val="15"/>
                <w:szCs w:val="15"/>
                <w:color w:val="auto"/>
              </w:rPr>
            </w:pPr>
          </w:p>
        </w:tc>
      </w:tr>
      <w:tr>
        <w:trPr>
          <w:trHeight w:val="215"/>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Agency</w:t>
            </w:r>
          </w:p>
        </w:tc>
        <w:tc>
          <w:tcPr>
            <w:tcW w:w="1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Entire Portfolio</w:t>
            </w:r>
          </w:p>
        </w:tc>
        <w:tc>
          <w:tcPr>
            <w:tcW w:w="160" w:type="dxa"/>
            <w:vAlign w:val="bottom"/>
          </w:tcPr>
          <w:p>
            <w:pPr>
              <w:spacing w:after="0"/>
              <w:rPr>
                <w:sz w:val="18"/>
                <w:szCs w:val="18"/>
                <w:color w:val="auto"/>
              </w:rPr>
            </w:pP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Entire Portfolio</w:t>
            </w:r>
          </w:p>
        </w:tc>
      </w:tr>
      <w:tr>
        <w:trPr>
          <w:trHeight w:val="199"/>
        </w:trPr>
        <w:tc>
          <w:tcPr>
            <w:tcW w:w="2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Fannie Mae</w:t>
            </w:r>
          </w:p>
        </w:tc>
        <w:tc>
          <w:tcPr>
            <w:tcW w:w="18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21,924</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32,692</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0" w:type="dxa"/>
            <w:vAlign w:val="bottom"/>
          </w:tcPr>
          <w:p>
            <w:pPr>
              <w:spacing w:after="0"/>
              <w:rPr>
                <w:sz w:val="17"/>
                <w:szCs w:val="17"/>
                <w:color w:val="auto"/>
              </w:rPr>
            </w:pPr>
          </w:p>
        </w:tc>
      </w:tr>
      <w:tr>
        <w:trPr>
          <w:trHeight w:val="203"/>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Freddie Mac</w:t>
            </w:r>
          </w:p>
        </w:tc>
        <w:tc>
          <w:tcPr>
            <w:tcW w:w="18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67,005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89,656</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20" w:type="dxa"/>
            <w:vAlign w:val="bottom"/>
          </w:tcPr>
          <w:p>
            <w:pPr>
              <w:spacing w:after="0"/>
              <w:rPr>
                <w:sz w:val="17"/>
                <w:szCs w:val="17"/>
                <w:color w:val="auto"/>
              </w:rPr>
            </w:pPr>
          </w:p>
        </w:tc>
      </w:tr>
      <w:tr>
        <w:trPr>
          <w:trHeight w:val="236"/>
        </w:trPr>
        <w:tc>
          <w:tcPr>
            <w:tcW w:w="2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Portfolio</w:t>
            </w:r>
          </w:p>
        </w:tc>
        <w:tc>
          <w:tcPr>
            <w:tcW w:w="18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88,929</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122,348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Pr>
          <w:p>
            <w:pPr>
              <w:spacing w:after="0"/>
              <w:rPr>
                <w:sz w:val="20"/>
                <w:szCs w:val="20"/>
                <w:color w:val="auto"/>
              </w:rPr>
            </w:pPr>
          </w:p>
        </w:tc>
      </w:tr>
    </w:tbl>
    <w:p>
      <w:pPr>
        <w:spacing w:after="0" w:line="19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Company's portfolio had an effective duration of 2.23, indicating that an interest rate increase of 1.0% would be expected to cause a 2.23% decrease in the value of the MBS in our investment portfolio. As of December 31, 2024, the Company's portfolio had an effective duration of 3.62, indicating that an interest rate increase of 1.0% would be expected to cause a 3.62% decrease in the value of the MBS in our investment portfolio. These figures do not include the effect of our funding cost hedges. Effective duration quotes for individual investments are obtained from The Yield Book, Inc.</w:t>
      </w:r>
    </w:p>
    <w:p>
      <w:pPr>
        <w:spacing w:after="0" w:line="183"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Our portfolio of PT MBS is typically comprised of adjustable-rate MBS, fixed-rate MBS and hybrid adjustable-rate MBS. We generally seek to acquire low duration assets that offer high levels of protection from mortgage prepayments provided that they are reasonably priced by the market. The stated contractual final maturity of the mortgage loans underlying our portfolio of PT MBS generally ranges up to 30 years. However, the effect of prepayments of the underlying mortgage loans tends to shorten the resulting cash flows from our investments substantially. Prepayments occur for various reasons, including refinancing of underlying mortgages, loan payoffs in connection with home sales, and borrowers paying more than their scheduled loan payments, which accelerates the amortization of the loans.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duration of our IO and IIO portfolios will vary greatly depending on the structural features of the securities. While prepayment activity will always affect the cash flows associated with the securities, the interest only nature of IO’s may cause their durations to become extremely negative when prepayments are high, and less negative when prepayments are low. Prepayments affect the durations of IIO’s similarly, but the floating rate nature of the coupon of IIOs (which has an inverse relationship to their reference index) cause their price movements - and model duration - to be affected by changes in both prepayments and their reference index - both current and anticipated levels. As a result, the duration of IIO securities will also vary greatly.</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Prepayments on the loans underlying our MBS can alter the timing of the cash flows received by us. As a result, we gauge the interest rate sensitivity of its assets by measuring their effective duration. While modified duration measures the price sensitivity of a bond to movements in interest rates, effective duration captures both the movement in interest rates and the fact that cash flows to a mortgage related security are altered when interest rates move. Accordingly, when the contract interest rate on a mortgage loan is substantially above prevailing interest rates in the market, the effective duration of securities collateralized by such loans can be quite low because of expected prepayments.</w:t>
      </w:r>
    </w:p>
    <w:p>
      <w:pPr>
        <w:spacing w:after="0" w:line="183"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We face the risk that the market value of our MBS assets will increase or decrease at different rates than those of our hedging instruments. Accordingly, we assess our interest rate risk by estimating the duration of our assets and the duration of our hedge instruments. We generally calculate duration and effective duration using various third-party models or obtain these quotes from third-parties. However, empirical results and various third-party models may produce different duration numbers for the same securities.</w:t>
      </w:r>
    </w:p>
    <w:p>
      <w:pPr>
        <w:spacing w:after="0" w:line="180"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following sensitivity analysis shows the estimated impact on the fair value of our interest rate-sensitive investments and hedge positions as of December 31, 2025, assuming rates instantaneously fall 200 bps, fall 100 bps and rise 100 bps, adjusted to reflect the impact of convexity, which is the measure of the sensitivity of our hedge positions and Agency MBS’ effective duration to movements in interest rates.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760" w:type="dxa"/>
            <w:vAlign w:val="bottom"/>
            <w:tcBorders>
              <w:top w:val="single" w:sz="8" w:color="auto"/>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 Change in Fair Value</w:t>
            </w:r>
          </w:p>
        </w:tc>
        <w:tc>
          <w:tcPr>
            <w:tcW w:w="100" w:type="dxa"/>
            <w:vAlign w:val="bottom"/>
            <w:tcBorders>
              <w:top w:val="single" w:sz="8" w:color="auto"/>
            </w:tcBorders>
          </w:tcPr>
          <w:p>
            <w:pPr>
              <w:spacing w:after="0"/>
              <w:rPr>
                <w:sz w:val="17"/>
                <w:szCs w:val="17"/>
                <w:color w:val="auto"/>
              </w:rPr>
            </w:pPr>
          </w:p>
        </w:tc>
        <w:tc>
          <w:tcPr>
            <w:tcW w:w="3100" w:type="dxa"/>
            <w:vAlign w:val="bottom"/>
            <w:tcBorders>
              <w:top w:val="single" w:sz="8" w:color="auto"/>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 Change in Fair Value</w:t>
            </w:r>
          </w:p>
        </w:tc>
      </w:tr>
      <w:tr>
        <w:trPr>
          <w:trHeight w:val="180"/>
        </w:trPr>
        <w:tc>
          <w:tcPr>
            <w:tcW w:w="3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jc w:val="right"/>
              <w:ind w:right="319"/>
              <w:spacing w:after="0" w:line="181" w:lineRule="exact"/>
              <w:rPr>
                <w:sz w:val="20"/>
                <w:szCs w:val="20"/>
                <w:color w:val="auto"/>
              </w:rPr>
            </w:pPr>
            <w:r>
              <w:rPr>
                <w:rFonts w:ascii="Times New Roman" w:cs="Times New Roman" w:eastAsia="Times New Roman" w:hAnsi="Times New Roman"/>
                <w:sz w:val="16"/>
                <w:szCs w:val="16"/>
                <w:b w:val="1"/>
                <w:bCs w:val="1"/>
                <w:color w:val="auto"/>
              </w:rPr>
              <w:t>Fair</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5"/>
        </w:trPr>
        <w:tc>
          <w:tcPr>
            <w:tcW w:w="3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-200bps</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-100bps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+100bps</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-200bps</w:t>
            </w: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-100bps</w:t>
            </w:r>
          </w:p>
        </w:tc>
        <w:tc>
          <w:tcPr>
            <w:tcW w:w="9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+100bps</w:t>
            </w:r>
          </w:p>
        </w:tc>
      </w:tr>
      <w:tr>
        <w:trPr>
          <w:trHeight w:val="199"/>
        </w:trPr>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MBS Portfolio</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88,929</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1,448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(2,631)</w:t>
            </w:r>
          </w:p>
        </w:tc>
        <w:tc>
          <w:tcPr>
            <w:tcW w:w="1180" w:type="dxa"/>
            <w:vAlign w:val="bottom"/>
            <w:tcBorders>
              <w:bottom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2.61%</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1.63%</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196"/>
        </w:trPr>
        <w:tc>
          <w:tcPr>
            <w:tcW w:w="3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5"/>
              </w:rPr>
              <w:t>Notional</w:t>
            </w:r>
          </w:p>
        </w:tc>
        <w:tc>
          <w:tcPr>
            <w:tcW w:w="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Change in Fair Value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 in Fair Value</w:t>
            </w:r>
          </w:p>
        </w:tc>
        <w:tc>
          <w:tcPr>
            <w:tcW w:w="180" w:type="dxa"/>
            <w:vAlign w:val="bottom"/>
          </w:tcPr>
          <w:p>
            <w:pPr>
              <w:spacing w:after="0"/>
              <w:rPr>
                <w:sz w:val="17"/>
                <w:szCs w:val="17"/>
                <w:color w:val="auto"/>
              </w:rPr>
            </w:pPr>
          </w:p>
        </w:tc>
      </w:tr>
      <w:tr>
        <w:trPr>
          <w:trHeight w:val="196"/>
        </w:trPr>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Repurchase Agreement Hedges</w:t>
            </w:r>
          </w:p>
        </w:tc>
        <w:tc>
          <w:tcPr>
            <w:tcW w:w="1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-200bps</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-100bps</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7"/>
              </w:rPr>
              <w:t>+100bps</w:t>
            </w: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-200bps</w:t>
            </w:r>
          </w:p>
        </w:tc>
        <w:tc>
          <w:tcPr>
            <w:tcW w:w="1060" w:type="dxa"/>
            <w:vAlign w:val="bottom"/>
            <w:tcBorders>
              <w:bottom w:val="single" w:sz="8" w:color="auto"/>
            </w:tcBorders>
            <w:shd w:val="clear" w:color="auto" w:fill="CCEEFF"/>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-100bps</w:t>
            </w:r>
          </w:p>
        </w:tc>
        <w:tc>
          <w:tcPr>
            <w:tcW w:w="96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+100bps</w:t>
            </w:r>
          </w:p>
        </w:tc>
      </w:tr>
      <w:tr>
        <w:trPr>
          <w:trHeight w:val="19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Futures Contracts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62,400</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(7,957)</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(12.75)%</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(6.15)%</w:t>
            </w: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5.75%</w:t>
            </w:r>
          </w:p>
        </w:tc>
      </w:tr>
      <w:tr>
        <w:trPr>
          <w:trHeight w:val="236"/>
        </w:trPr>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Totals</w:t>
            </w:r>
          </w:p>
        </w:tc>
        <w:tc>
          <w:tcPr>
            <w:tcW w:w="1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r>
    </w:tbl>
    <w:p>
      <w:pPr>
        <w:spacing w:after="0" w:line="19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addition to changes in interest rates, other factors impact the fair value of our interest rate-sensitive investments and hedging instruments, such as the shape of the yield curve, market expectations as to future interest rate changes and other market conditions. Accordingly, in the event of changes in actual interest rates, the change in the fair value of our assets would likely differ from that shown above and such difference might be material and adverse to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had established borrowing facilities in the repurchase agreement market with a number of commercial banks and other financial institutions and had borrowings in place with seven of these counterparties. We believe these facilities provide borrowing capacity in excess of our needs. None of these lenders are affiliated with the Company. These borrowings are secured by our MBS and cash.</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we had obligations outstanding under the repurchase agreements of approximately $85.3 million with a net weighted average borrowing cost of 3.98%. The remaining maturity of our outstanding repurchase agreement obligations ranged from 21 to 58 days, with a weighted average maturity of 31 days. Securing the repurchase agreement obligation as of December 31, 2025 are MBS with an estimated fair value, including accrued interest, of $89.2 million. Through March 13, 2026, we have been able to maintain our repurchase facilities with comparable terms to those that existed as of December 31, 2025 with maturities through March 24, 2026.</w:t>
      </w:r>
    </w:p>
    <w:p>
      <w:pPr>
        <w:spacing w:after="0" w:line="18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The table below presents information about our period-end and average repurchase agreement obligations for each quarter in 2025 and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Difference Between Ending</w:t>
            </w:r>
          </w:p>
        </w:tc>
      </w:tr>
      <w:tr>
        <w:trPr>
          <w:trHeight w:val="203"/>
        </w:trPr>
        <w:tc>
          <w:tcPr>
            <w:tcW w:w="3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220" w:type="dxa"/>
            <w:vAlign w:val="bottom"/>
          </w:tcPr>
          <w:p>
            <w:pPr>
              <w:spacing w:after="0"/>
              <w:rPr>
                <w:sz w:val="17"/>
                <w:szCs w:val="17"/>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220" w:type="dxa"/>
            <w:vAlign w:val="bottom"/>
          </w:tcPr>
          <w:p>
            <w:pPr>
              <w:spacing w:after="0"/>
              <w:rPr>
                <w:sz w:val="17"/>
                <w:szCs w:val="17"/>
                <w:color w:val="auto"/>
              </w:rPr>
            </w:pPr>
          </w:p>
        </w:tc>
        <w:tc>
          <w:tcPr>
            <w:tcW w:w="120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7"/>
                <w:szCs w:val="17"/>
                <w:color w:val="auto"/>
              </w:rPr>
            </w:pPr>
          </w:p>
        </w:tc>
        <w:tc>
          <w:tcPr>
            <w:tcW w:w="2460" w:type="dxa"/>
            <w:vAlign w:val="bottom"/>
            <w:gridSpan w:val="2"/>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Repurchase Agreements and</w:t>
            </w:r>
          </w:p>
        </w:tc>
      </w:tr>
      <w:tr>
        <w:trPr>
          <w:trHeight w:val="203"/>
        </w:trPr>
        <w:tc>
          <w:tcPr>
            <w:tcW w:w="3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Balance of</w:t>
            </w:r>
          </w:p>
        </w:tc>
        <w:tc>
          <w:tcPr>
            <w:tcW w:w="220" w:type="dxa"/>
            <w:vAlign w:val="bottom"/>
          </w:tcPr>
          <w:p>
            <w:pPr>
              <w:spacing w:after="0"/>
              <w:rPr>
                <w:sz w:val="17"/>
                <w:szCs w:val="17"/>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Balance of</w:t>
            </w:r>
          </w:p>
        </w:tc>
        <w:tc>
          <w:tcPr>
            <w:tcW w:w="220" w:type="dxa"/>
            <w:vAlign w:val="bottom"/>
          </w:tcPr>
          <w:p>
            <w:pPr>
              <w:spacing w:after="0"/>
              <w:rPr>
                <w:sz w:val="17"/>
                <w:szCs w:val="17"/>
                <w:color w:val="auto"/>
              </w:rPr>
            </w:pPr>
          </w:p>
        </w:tc>
        <w:tc>
          <w:tcPr>
            <w:tcW w:w="120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Balance of</w:t>
            </w:r>
          </w:p>
        </w:tc>
        <w:tc>
          <w:tcPr>
            <w:tcW w:w="160" w:type="dxa"/>
            <w:vAlign w:val="bottom"/>
          </w:tcPr>
          <w:p>
            <w:pPr>
              <w:spacing w:after="0"/>
              <w:rPr>
                <w:sz w:val="17"/>
                <w:szCs w:val="17"/>
                <w:color w:val="auto"/>
              </w:rPr>
            </w:pPr>
          </w:p>
        </w:tc>
        <w:tc>
          <w:tcPr>
            <w:tcW w:w="1400" w:type="dxa"/>
            <w:vAlign w:val="bottom"/>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60" w:type="dxa"/>
            <w:vAlign w:val="bottom"/>
          </w:tcPr>
          <w:p>
            <w:pPr>
              <w:spacing w:after="0"/>
              <w:rPr>
                <w:sz w:val="17"/>
                <w:szCs w:val="17"/>
                <w:color w:val="auto"/>
              </w:rPr>
            </w:pPr>
          </w:p>
        </w:tc>
      </w:tr>
      <w:tr>
        <w:trPr>
          <w:trHeight w:val="218"/>
        </w:trPr>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Repurchase</w:t>
            </w:r>
          </w:p>
        </w:tc>
        <w:tc>
          <w:tcPr>
            <w:tcW w:w="220" w:type="dxa"/>
            <w:vAlign w:val="bottom"/>
          </w:tcPr>
          <w:p>
            <w:pPr>
              <w:spacing w:after="0"/>
              <w:rPr>
                <w:sz w:val="18"/>
                <w:szCs w:val="18"/>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Repurchase</w:t>
            </w:r>
          </w:p>
        </w:tc>
        <w:tc>
          <w:tcPr>
            <w:tcW w:w="220" w:type="dxa"/>
            <w:vAlign w:val="bottom"/>
          </w:tcPr>
          <w:p>
            <w:pPr>
              <w:spacing w:after="0"/>
              <w:rPr>
                <w:sz w:val="18"/>
                <w:szCs w:val="18"/>
                <w:color w:val="auto"/>
              </w:rPr>
            </w:pPr>
          </w:p>
        </w:tc>
        <w:tc>
          <w:tcPr>
            <w:tcW w:w="120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Repurchase</w:t>
            </w: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2"/>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Repurchase Agreements</w:t>
            </w:r>
          </w:p>
        </w:tc>
      </w:tr>
      <w:tr>
        <w:trPr>
          <w:trHeight w:val="196"/>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1340" w:type="dxa"/>
            <w:vAlign w:val="bottom"/>
            <w:tcBorders>
              <w:bottom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Agreements </w:t>
            </w:r>
            <w:r>
              <w:rPr>
                <w:rFonts w:ascii="Times New Roman" w:cs="Times New Roman" w:eastAsia="Times New Roman" w:hAnsi="Times New Roman"/>
                <w:sz w:val="22"/>
                <w:szCs w:val="22"/>
                <w:b w:val="1"/>
                <w:bCs w:val="1"/>
                <w:color w:val="auto"/>
                <w:vertAlign w:val="superscript"/>
              </w:rPr>
              <w:t>(1)</w:t>
            </w:r>
          </w:p>
        </w:tc>
        <w:tc>
          <w:tcPr>
            <w:tcW w:w="1420" w:type="dxa"/>
            <w:vAlign w:val="bottom"/>
            <w:tcBorders>
              <w:bottom w:val="single" w:sz="8" w:color="auto"/>
            </w:tcBorders>
            <w:gridSpan w:val="2"/>
          </w:tcPr>
          <w:p>
            <w:pPr>
              <w:jc w:val="center"/>
              <w:ind w:right="39"/>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Agreements </w:t>
            </w:r>
            <w:r>
              <w:rPr>
                <w:rFonts w:ascii="Times New Roman" w:cs="Times New Roman" w:eastAsia="Times New Roman" w:hAnsi="Times New Roman"/>
                <w:sz w:val="22"/>
                <w:szCs w:val="22"/>
                <w:b w:val="1"/>
                <w:bCs w:val="1"/>
                <w:color w:val="auto"/>
                <w:vertAlign w:val="superscript"/>
              </w:rPr>
              <w:t>(2)</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9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85,326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99,953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92,640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(7,314)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6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99,953</w:t>
            </w:r>
          </w:p>
        </w:tc>
        <w:tc>
          <w:tcPr>
            <w:tcW w:w="22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101,788</w:t>
            </w:r>
          </w:p>
        </w:tc>
        <w:tc>
          <w:tcPr>
            <w:tcW w:w="22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100,848</w:t>
            </w:r>
          </w:p>
        </w:tc>
        <w:tc>
          <w:tcPr>
            <w:tcW w:w="160" w:type="dxa"/>
            <w:vAlign w:val="bottom"/>
          </w:tcPr>
          <w:p>
            <w:pPr>
              <w:spacing w:after="0"/>
              <w:rPr>
                <w:sz w:val="17"/>
                <w:szCs w:val="17"/>
                <w:color w:val="auto"/>
              </w:rPr>
            </w:pPr>
          </w:p>
        </w:tc>
        <w:tc>
          <w:tcPr>
            <w:tcW w:w="14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(895)</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(0.89)%</w:t>
            </w: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6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101,742</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115,096</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108,626</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(6,884)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16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115,511</w:t>
            </w:r>
          </w:p>
        </w:tc>
        <w:tc>
          <w:tcPr>
            <w:tcW w:w="22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117,603</w:t>
            </w:r>
          </w:p>
        </w:tc>
        <w:tc>
          <w:tcPr>
            <w:tcW w:w="22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116,346</w:t>
            </w:r>
          </w:p>
        </w:tc>
        <w:tc>
          <w:tcPr>
            <w:tcW w:w="160" w:type="dxa"/>
            <w:vAlign w:val="bottom"/>
          </w:tcPr>
          <w:p>
            <w:pPr>
              <w:spacing w:after="0"/>
              <w:rPr>
                <w:sz w:val="17"/>
                <w:szCs w:val="17"/>
                <w:color w:val="auto"/>
              </w:rPr>
            </w:pPr>
          </w:p>
        </w:tc>
        <w:tc>
          <w:tcPr>
            <w:tcW w:w="14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(835)</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(0.72)%</w:t>
            </w: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6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117,181</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117,324</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115,102</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2,079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2024</w:t>
            </w:r>
          </w:p>
        </w:tc>
        <w:tc>
          <w:tcPr>
            <w:tcW w:w="16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113,023</w:t>
            </w:r>
          </w:p>
        </w:tc>
        <w:tc>
          <w:tcPr>
            <w:tcW w:w="22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113,026</w:t>
            </w:r>
          </w:p>
        </w:tc>
        <w:tc>
          <w:tcPr>
            <w:tcW w:w="22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97,949</w:t>
            </w:r>
          </w:p>
        </w:tc>
        <w:tc>
          <w:tcPr>
            <w:tcW w:w="160" w:type="dxa"/>
            <w:vAlign w:val="bottom"/>
          </w:tcPr>
          <w:p>
            <w:pPr>
              <w:spacing w:after="0"/>
              <w:rPr>
                <w:sz w:val="17"/>
                <w:szCs w:val="17"/>
                <w:color w:val="auto"/>
              </w:rPr>
            </w:pPr>
          </w:p>
        </w:tc>
        <w:tc>
          <w:tcPr>
            <w:tcW w:w="14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15,074</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w:t>
            </w: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2024</w:t>
            </w:r>
          </w:p>
        </w:tc>
        <w:tc>
          <w:tcPr>
            <w:tcW w:w="16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82,876</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84,553</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83,737</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(861)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March 31, 2024</w:t>
            </w:r>
          </w:p>
        </w:tc>
        <w:tc>
          <w:tcPr>
            <w:tcW w:w="168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84,599</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87,523</w:t>
            </w:r>
          </w:p>
        </w:tc>
        <w:tc>
          <w:tcPr>
            <w:tcW w:w="22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85,753</w:t>
            </w:r>
          </w:p>
        </w:tc>
        <w:tc>
          <w:tcPr>
            <w:tcW w:w="160" w:type="dxa"/>
            <w:vAlign w:val="bottom"/>
          </w:tcPr>
          <w:p>
            <w:pPr>
              <w:spacing w:after="0"/>
              <w:rPr>
                <w:sz w:val="18"/>
                <w:szCs w:val="18"/>
                <w:color w:val="auto"/>
              </w:rPr>
            </w:pPr>
          </w:p>
        </w:tc>
        <w:tc>
          <w:tcPr>
            <w:tcW w:w="14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(1,154)</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bl>
    <w:p>
      <w:pPr>
        <w:spacing w:after="0" w:line="194"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Maximum balance during the quarter reflects the highest daily close-of business balance outstanding under repurchase agreements for the period.</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balances for the quarterly periods are calculated using two data points, the beginning and ending balances for the period.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Liquidity is our ability to turn non-cash assets into cash to fund our operations and to meet our obligations in both the short-term (one year or less) and long-term (greater than one year). Our material cash requirements include the purchase of additional investments, repay principal and interest on repurchase agreements and long-term debt (see Note 9 to the consolidated financial statements included in Item 8 of Part II of this Report for more information related to the timing of principal payments and maturities of our long-term debt.), fund overhead and fulfill margin calls. We have both internal and external sources of liquidity. However, our material unused sources of liquidity include cash balances, unencumbered assets and our ability to sell encumbered assets to raise cash. Our balance sheet also generates liquidity on an on-going basis through payments of principal and interest we receive on our MBS portfolio and dividends we receive on our investment in Orchid common stock.</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Internal Sources of Liquidity</w:t>
      </w:r>
    </w:p>
    <w:p>
      <w:pPr>
        <w:spacing w:after="0" w:line="227"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Our internal sources of liquidity include our cash balances, unencumbered assets and our ability to liquidate our encumbered security holdings. Our balance sheet also generates liquidity on an ongoing basis through payments of principal and interest we receive on our MBS portfolio and dividends we receive on our investment in Orchid common stock.</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employ a hedging strategy that typically involves taking short positions in T-Note and SOFR futures, TBAs or other instruments. When the market causes these short positions to decline in value we are required to meet margin calls with cash. This can reduce our liquidity position to the extent other securities in our portfolio move in price in such a way that we do not receive enough cash through margin calls to offset the futures or TBA short position related margin calls. If this were to occur in sufficient magnitude, the loss of liquidity might force us to reduce the size of the levered portfolio, pledge additional structured securities to raise funds or risk operating the portfolio with less liquidity.</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External Sources of Liquidity</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primary external sources of liquidity are our ability to (i) borrow under master repurchase agreements and (ii) use the TBA security market. Our borrowing capacity will vary over time as the market value of our interest earning assets varies. Our master repurchase agreements have no stated expiration, but can be terminated at any time at our option or at the option of the counterparty. However, once a definitive repurchase agreement under a master repurchase agreement has been entered into, it generally may not be terminated by either party. A negotiated termination can occur, but may involve a fee to be paid by the party seeking to terminate the repurchase agreement transaction.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20" w:right="20" w:firstLine="324"/>
        <w:spacing w:after="0" w:line="255" w:lineRule="auto"/>
        <w:rPr>
          <w:sz w:val="20"/>
          <w:szCs w:val="20"/>
          <w:color w:val="auto"/>
        </w:rPr>
      </w:pPr>
      <w:r>
        <w:rPr>
          <w:rFonts w:ascii="Times New Roman" w:cs="Times New Roman" w:eastAsia="Times New Roman" w:hAnsi="Times New Roman"/>
          <w:sz w:val="18"/>
          <w:szCs w:val="18"/>
          <w:color w:val="auto"/>
        </w:rPr>
        <w:t>Under our repurchase agreement funding arrangements, we are required to post margin at the initiation of the borrowing. The margin posted represents the haircut, which is a percentage of the market value of the collateral pledged. To the extent the market value of the asset collateralizing the financing transaction declines, the market value of our posted margin will be insufficient and we will be required to post additional collateral. Conversely, if the market value of the asset pledged increases in value, we would be over collateralized and we would be entitled to have excess margin returned to us by the counterparty. Our lenders typically value our pledged securities daily to ensure the adequacy of our margin and make margin calls as needed, as do we. Typically, but not always, the parties agree to a minimum threshold amount for margin calls so as to avoid the need for nuisance margin calls on a daily basis. Our master repurchase agreements do not specify the haircut; rather haircuts are determined on an individual repo transaction basis.</w:t>
      </w:r>
    </w:p>
    <w:p>
      <w:pPr>
        <w:spacing w:after="0" w:line="189" w:lineRule="exact"/>
        <w:rPr>
          <w:sz w:val="20"/>
          <w:szCs w:val="20"/>
          <w:color w:val="auto"/>
        </w:rPr>
      </w:pPr>
    </w:p>
    <w:p>
      <w:pPr>
        <w:ind w:left="20" w:right="20" w:firstLine="324"/>
        <w:spacing w:after="0" w:line="289" w:lineRule="auto"/>
        <w:rPr>
          <w:sz w:val="20"/>
          <w:szCs w:val="20"/>
          <w:color w:val="auto"/>
        </w:rPr>
      </w:pPr>
      <w:r>
        <w:rPr>
          <w:rFonts w:ascii="Times New Roman" w:cs="Times New Roman" w:eastAsia="Times New Roman" w:hAnsi="Times New Roman"/>
          <w:sz w:val="17"/>
          <w:szCs w:val="17"/>
          <w:color w:val="auto"/>
        </w:rPr>
        <w:t>We invest a portion of our capital in structured MBS. We generally do not apply leverage to this portion of our portfolio. The leverage inherent in structured securities replaces the leverage obtained by acquiring PT securities and funding them in the repo market. However, we have and may continue to pledge a portion of our structured MBS in order to raise our cash levels, but generally will not pledge these securities in order to acquire additional assets.</w:t>
      </w:r>
    </w:p>
    <w:p>
      <w:pPr>
        <w:spacing w:after="0" w:line="158" w:lineRule="exact"/>
        <w:rPr>
          <w:sz w:val="20"/>
          <w:szCs w:val="20"/>
          <w:color w:val="auto"/>
        </w:rPr>
      </w:pPr>
    </w:p>
    <w:p>
      <w:pPr>
        <w:ind w:left="20" w:right="140" w:firstLine="324"/>
        <w:spacing w:after="0" w:line="258" w:lineRule="auto"/>
        <w:rPr>
          <w:sz w:val="20"/>
          <w:szCs w:val="20"/>
          <w:color w:val="auto"/>
        </w:rPr>
      </w:pPr>
      <w:r>
        <w:rPr>
          <w:rFonts w:ascii="Times New Roman" w:cs="Times New Roman" w:eastAsia="Times New Roman" w:hAnsi="Times New Roman"/>
          <w:sz w:val="18"/>
          <w:szCs w:val="18"/>
          <w:color w:val="auto"/>
        </w:rPr>
        <w:t>In future periods we expect to continue to finance our activities through repurchase agreements and through revenues from our advisory services business. As of December 31, 2025, we had cash and cash equivalents of $12.7 million. We generated cash flows of $22.6 million from principal and interest payments on our MBS portfolio and had average repurchase agreements outstanding of $104.6 million during the year ended December 31, 2025. In addition, during the year ended December 31, 2025, we received approximately $16.6 million in management fees and expense reimbursements as manager of Orchid and approximately $0.8 million in dividends from our investment in Orchid common stock.</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December 31, 2025, we had no material commitments for capital expenditures.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Orchid Island Capital Inc.</w:t>
      </w:r>
    </w:p>
    <w:p>
      <w:pPr>
        <w:spacing w:after="0" w:line="229" w:lineRule="exact"/>
        <w:rPr>
          <w:sz w:val="20"/>
          <w:szCs w:val="20"/>
          <w:color w:val="auto"/>
        </w:rPr>
      </w:pPr>
    </w:p>
    <w:p>
      <w:pPr>
        <w:ind w:left="20" w:firstLine="324"/>
        <w:spacing w:after="0" w:line="254" w:lineRule="auto"/>
        <w:rPr>
          <w:sz w:val="20"/>
          <w:szCs w:val="20"/>
          <w:color w:val="auto"/>
        </w:rPr>
      </w:pPr>
      <w:r>
        <w:rPr>
          <w:rFonts w:ascii="Times New Roman" w:cs="Times New Roman" w:eastAsia="Times New Roman" w:hAnsi="Times New Roman"/>
          <w:sz w:val="18"/>
          <w:szCs w:val="18"/>
          <w:color w:val="auto"/>
        </w:rPr>
        <w:t>Orchid reported net income for the fourth quarter 2025 of $103.4 million, or $0.62 per share and its stockholders' equity increased from $1.086 billion to $1.372 billion. Orchid’s stockholders’ equity at the end of 2024 was $668.5 million so the increase to $1.372 billion represents an increase of approximately 105%. During the fourth quarter market conditions were favorable for levered MBS investors as Orchid reported gains on hedge instruments of $14.0 million and realized and unrealized gains on its MBS portfolio of $56.7 million, which together equaled $70.7 million. Net income for the full year of 2025 was $159.0 million, or $1.24 per share. Orchid is obligated to reimburse Bimini for direct expenses paid on its behalf as well as Orchid’s pro-rate share of overhead expenses as defined in the management agreement. As a stockholder of Orchid, we will also continue to share in distributions, if any, paid by Orchid to its stockholders. Our operating results are also impacted by changes in the market value of our holdings of Orchid common shares, although these market value changes do not impact our cash flows from Orchid.</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Economic Summary</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the year 2025 came to a close, market conditions were relatively calm. The government shutdown that commenced October 1, 2025, and lasted for six weeks, indirectly contributed to the calm. As a result of the government shutdown, many entities that provide economic data to the markets were unable to do so and it took several weeks after the government reopened before they were able to resume. The lack of economic data deprived both the markets and Fed policy makers of the ability to gauge the performance of the economy and its many components, such as the labor market, consumer spending and price data. As a result, market participants and the Fed were left with limited data from private sources. The result of the data vacuum for the markets was a continuation of the status quo, as the market awaited further clarification on growth and inflation. Interest rates were stable and traded in a rather tight range. Interest rate implied volatility continued its long decline that started in early April 2025, after the Trump administration imposed broad tariffs. The FOMC opted to continue on their path of policy normalization by lowering the Fed Funds rate twice in the fourth quarter of 2025, in each case by 25 basis points. In doing so, the Fed believed they had reached the upper end of neutral – implying the neutral policy rate was in fact a range versus a specific rate level.</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As with prior quarters, the economy continues to operate with elevated inflation relative to the Fed’s 2% target, and with evidence of a fragile labor market. There is ample data to support either thesis regarding the outlook for the economy, and market participants and FOMC members are split on how monetary policy should be managed to address the Fed’s dual mandates. The two rate cuts that occurred during the fourth quarter of 2025 were the result of split votes whereby some members dissented in both the direction of more cuts and fewer, or no cuts. As we near the end of the first quarter of 2026 the dilemma persists, although the FOMC opted to hold policy steady at their January 2026 meeting, claiming they had time to monitor the incoming data for now as monetary policy was deemed near neutral and there was no pressing need to increase accommodation.</w:t>
      </w:r>
    </w:p>
    <w:p>
      <w:pPr>
        <w:spacing w:after="0" w:line="18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One additional development that will likely impact monetary policy going forward was the decision by President Trump to nominate Kevin Warsh as the next chairman of the Fed in late January. The term of the current chairman, Jerome Powell, ends in May of 2026. While President Trump has been highly critical of Chairman Powell and openly stated his desire for lower interest rates, the market does not appear to anticipate incoming Chairman Warsh will aggressively lower the Fed Funds rate. In fact, incoming Chairman Warsh is expected to be more of a proponent of fighting inflation and shrinking the Fed’s balance sheet.</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29" w:lineRule="exact"/>
        <w:rPr>
          <w:sz w:val="20"/>
          <w:szCs w:val="20"/>
          <w:color w:val="auto"/>
        </w:rPr>
      </w:pPr>
    </w:p>
    <w:p>
      <w:pPr>
        <w:ind w:left="20" w:right="40" w:firstLine="252"/>
        <w:spacing w:after="0" w:line="253" w:lineRule="auto"/>
        <w:rPr>
          <w:sz w:val="20"/>
          <w:szCs w:val="20"/>
          <w:color w:val="auto"/>
        </w:rPr>
      </w:pPr>
      <w:r>
        <w:rPr>
          <w:rFonts w:ascii="Times New Roman" w:cs="Times New Roman" w:eastAsia="Times New Roman" w:hAnsi="Times New Roman"/>
          <w:sz w:val="18"/>
          <w:szCs w:val="18"/>
          <w:color w:val="auto"/>
        </w:rPr>
        <w:t>As alluded to above, interest rates were quite stable over the course of the fourth quarter of 2025 and into the first quarter of 2026. All indicators of economic activity, while often of suspect quality and not always available or timely, did not indicate much changed during the fourth quarter. Inflation data remained above the Fed’s target, although there did not appear to be material flow-through from the tariffs implemented during the year, and the labor market, while not robust, did not appear to be deteriorating. The Fed lowered the Fed Funds rate two times in the fourth quarter – a continuation of their plan to bring monetary policy towards neutral – and signaled they had done so. Additional cuts may come if needed but are not anticipated in the near term. Longer maturity U.S. Treasury rates remained in a tight range throughout the fourth quarter and remained so into the first quarter of 2026. As a result of the two 25 basis point rate cuts by the Fed in the fourth quarter, the spread between the Fed Funds rate and the two-year U.S. Treasury is less inverted than was the case at September 30, 2025, reflecting both the cuts and the market pricing in fewer cuts in the future. Accordingly, the U.S. Treasury curve is slightly steeper, as evidenced by the spread between the 2-year and 10-year U.S. Treasury notes increasing from approximately 54 basis points to approximately 70 basis points at year-end.</w:t>
      </w:r>
    </w:p>
    <w:p>
      <w:pPr>
        <w:spacing w:after="0" w:line="194" w:lineRule="exact"/>
        <w:rPr>
          <w:sz w:val="20"/>
          <w:szCs w:val="20"/>
          <w:color w:val="auto"/>
        </w:rPr>
      </w:pPr>
    </w:p>
    <w:p>
      <w:pPr>
        <w:ind w:left="20" w:firstLine="252"/>
        <w:spacing w:after="0" w:line="254" w:lineRule="auto"/>
        <w:rPr>
          <w:sz w:val="20"/>
          <w:szCs w:val="20"/>
          <w:color w:val="auto"/>
        </w:rPr>
      </w:pPr>
      <w:r>
        <w:rPr>
          <w:rFonts w:ascii="Times New Roman" w:cs="Times New Roman" w:eastAsia="Times New Roman" w:hAnsi="Times New Roman"/>
          <w:sz w:val="18"/>
          <w:szCs w:val="18"/>
          <w:color w:val="auto"/>
        </w:rPr>
        <w:t>The Federal Reserve ended their quantitative tightening program, which reduced their balance sheet via the maturation of their holdings, and began reinvesting them into additional U.S. Treasury holdings on December 1, 2025. Run-off from the Agency residential mortgage-backed securities ("RMBS") holdings is now directed towards purchasing U.S. Treasury bills. The Fed also announced their intention, via Reserve Management Purchases (“RMPs”), to grow their balance sheet over time to maintain a stable relationship between the size of their balance sheet and the economy. These steps will result in increased purchases of U.S. Treasury securities by the Fed going forward, and interest rate swap spreads have widened – or become less negative – as a result. The widening of swap spreads, particularly longer-dated spreads, caused the swap curve to steepen more than the cash U.S. Treasury curve. Longer-dated swap spreads had become progressively more negative over the previous years, reflecting the market’s concern with increasing government issuance of U.S. Treasury securities. The increased purchases by the Fed offset some of the impact of the deficit-induced growth in issuance anticipated in the future.</w:t>
      </w:r>
    </w:p>
    <w:p>
      <w:pPr>
        <w:spacing w:after="0" w:line="188" w:lineRule="exact"/>
        <w:rPr>
          <w:sz w:val="20"/>
          <w:szCs w:val="20"/>
          <w:color w:val="auto"/>
        </w:rPr>
      </w:pPr>
    </w:p>
    <w:p>
      <w:pPr>
        <w:ind w:left="20" w:right="160" w:firstLine="252"/>
        <w:spacing w:after="0" w:line="282" w:lineRule="auto"/>
        <w:rPr>
          <w:sz w:val="20"/>
          <w:szCs w:val="20"/>
          <w:color w:val="auto"/>
        </w:rPr>
      </w:pPr>
      <w:r>
        <w:rPr>
          <w:rFonts w:ascii="Times New Roman" w:cs="Times New Roman" w:eastAsia="Times New Roman" w:hAnsi="Times New Roman"/>
          <w:sz w:val="18"/>
          <w:szCs w:val="18"/>
          <w:color w:val="auto"/>
        </w:rPr>
        <w:t>As realized interest rate volatility was very low during the quarter, implied rate volatility in the swaptions market continued to decline and has reached multi-year lows in early 2026.</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Agency MBS Market</w:t>
      </w:r>
    </w:p>
    <w:p>
      <w:pPr>
        <w:spacing w:after="0" w:line="229" w:lineRule="exact"/>
        <w:rPr>
          <w:sz w:val="20"/>
          <w:szCs w:val="20"/>
          <w:color w:val="auto"/>
        </w:rPr>
      </w:pPr>
    </w:p>
    <w:p>
      <w:pPr>
        <w:ind w:left="20" w:right="60" w:firstLine="252"/>
        <w:spacing w:after="0" w:line="254" w:lineRule="auto"/>
        <w:rPr>
          <w:sz w:val="20"/>
          <w:szCs w:val="20"/>
          <w:color w:val="auto"/>
        </w:rPr>
      </w:pPr>
      <w:r>
        <w:rPr>
          <w:rFonts w:ascii="Times New Roman" w:cs="Times New Roman" w:eastAsia="Times New Roman" w:hAnsi="Times New Roman"/>
          <w:sz w:val="18"/>
          <w:szCs w:val="18"/>
          <w:color w:val="auto"/>
        </w:rPr>
        <w:t>As a proxy for the performance of the Agency RMBS market during 2025, the spread of the 30-year, fixed rate current coupon to the 10-year U.S. Treasury Note peaked at approximately 142 basis points in April 2025, not long after the market turmoil surrounding the various tariff measures introduced by the Trump administration on April 2, 2025. Since then, the spread has steadily declined, closely mirroring the performance of implied interest rate volatility, an important driver of Agency RMBS performance. The current coupon spread to the 10-year U.S. Treasury was at approximately 105 basis points at the beginning of the fourth quarter of 2025, and approximately 88 basis points at the end of the fourth quarter. In January 2026, President Trump announced plans for the Enterprises to purchase up to $200 billion of Agency RMBS in 2026 in an effort to drive mortgage rates down and improve housing affordability. The market reacted strongly to the news, and the current coupon spread tightened to approximately 74 basis points, the tightest level since early 2022 when the Fed was still buying Agency RMBS under its quantitative easing program. Since the announcement, spreads have widened slightly but are still lower than the level at the end of 2025.</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252"/>
        <w:spacing w:after="0" w:line="255" w:lineRule="auto"/>
        <w:rPr>
          <w:sz w:val="20"/>
          <w:szCs w:val="20"/>
          <w:color w:val="auto"/>
        </w:rPr>
      </w:pPr>
      <w:r>
        <w:rPr>
          <w:rFonts w:ascii="Times New Roman" w:cs="Times New Roman" w:eastAsia="Times New Roman" w:hAnsi="Times New Roman"/>
          <w:sz w:val="18"/>
          <w:szCs w:val="18"/>
          <w:color w:val="auto"/>
        </w:rPr>
        <w:t>Within Agency RMBS for the fourth quarter of 2025, conventional 30-year mortgages generated a total return of 1.7%, 15-year mortgages generated a total return of 1.5% and Ginnie Mae 30-year mortgages generated a total return of 1.5%. Versus comparable duration swaps, the returns were 1.4%, 0.8% and 1.1% for 30-year conventional, 15-year conventional and Ginnie Mae 30-year mortgages, respectively. The Company invests predominantly in 30-year conventional mortgages. Returns with the 30-year stack of coupons were very consistent across the various coupons: the 2.0% coupon generated a return of 1.3%, the 3.5% coupon generated a return of 2.2% and all other coupons were between 1.6% and 1.8%. Excess returns versus comparable duration swaps were in the range of -0.5% to 2.1%, with the 3.5% coupon again being the outlier to the upside. The highest coupons – 6.0% and higher – all generated excess returns below 1.0%. Excess returns for the balance of the coupons were between 1.1% and 1.7%, similar to absolute returns.</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Recent Legislative and Regulatory Developments</w:t>
      </w:r>
    </w:p>
    <w:p>
      <w:pPr>
        <w:spacing w:after="0" w:line="229" w:lineRule="exact"/>
        <w:rPr>
          <w:sz w:val="20"/>
          <w:szCs w:val="20"/>
          <w:color w:val="auto"/>
        </w:rPr>
      </w:pPr>
    </w:p>
    <w:p>
      <w:pPr>
        <w:ind w:right="80" w:firstLine="252"/>
        <w:spacing w:after="0" w:line="252" w:lineRule="auto"/>
        <w:rPr>
          <w:sz w:val="20"/>
          <w:szCs w:val="20"/>
          <w:color w:val="auto"/>
        </w:rPr>
      </w:pPr>
      <w:r>
        <w:rPr>
          <w:rFonts w:ascii="Times New Roman" w:cs="Times New Roman" w:eastAsia="Times New Roman" w:hAnsi="Times New Roman"/>
          <w:sz w:val="18"/>
          <w:szCs w:val="18"/>
          <w:color w:val="auto"/>
        </w:rPr>
        <w:t>In response to the deterioration in the markets for U.S. Treasuries, Agency MBS and other mortgage and fixed income markets resulting from the impacts of the COVID-19 pandemic, the Fed implemented a program of quantitative easing. Through November of 2021, the Fed was committed to purchasing $80 billion of U.S. Treasuries and $40 billion of Agency MBS each month. In November of 2021, it began tapering its net asset purchases each month, ended net asset purchases by early March of 2022, and ended asset purchases entirely in September of 2022. On May 4, 2022, the FOMC announced a plan for reducing the Fed’s balance sheet. In June of 2022, in accordance with this plan, the Fed began reducing its balance sheet by a maximum of $30 billion of U.S. Treasuries and $17.5 billion of Agency MBS each month. On September 21, 2022, the FOMC announced the Fed’s decision to continue reducing its balance sheet by a maximum of $60 billion of U.S. Treasuries and $35 billion of Agency MBS per month. On May 1, 2024, the FOMC announced the Fed’s decision to reduce its balance sheet by a maximum of $25 billion of U.S. Treasury securities and remove the cap on Agency MBS reduction, with any amounts in excess of $35 billion per month being reinvested in U.S. Treasury securities. On March 19, 2025, the FOMC announced the Fed's decision to reduce its balance sheet by a maximum of $5 billion of U.S. Treasury securities beginning April 1, 2025. Relatively high interest rates and slow prepayment speeds have kept the balance sheet reduction for Agency MBS below $20 billion per month throughout 2024 and 2025. As of December 31, 2025, the Fed had reduced its balance sheet for Agency MBS by approximately $741 billion from the peak to $2.0 trillion, shedding approximately 54% of the Agency MBS added during pandemic quantitative easing and representing the lowest level since December 2020. On December 1, 2025, the Fed ended quantitative tightening and began reinvesting all proceeds from maturing Agency MBS up to a $35 billion per month cap in U.S. Treasuries and announced that it would begin buying an additional $40 billion per month of U.S. Treasuries via RMPs in order to maintain an ample level of reserves on an ongoing basis.</w:t>
      </w:r>
    </w:p>
    <w:p>
      <w:pPr>
        <w:spacing w:after="0" w:line="195" w:lineRule="exact"/>
        <w:rPr>
          <w:sz w:val="20"/>
          <w:szCs w:val="20"/>
          <w:color w:val="auto"/>
        </w:rPr>
      </w:pPr>
    </w:p>
    <w:p>
      <w:pPr>
        <w:ind w:firstLine="252"/>
        <w:spacing w:after="0" w:line="251" w:lineRule="auto"/>
        <w:rPr>
          <w:sz w:val="20"/>
          <w:szCs w:val="20"/>
          <w:color w:val="auto"/>
        </w:rPr>
      </w:pPr>
      <w:r>
        <w:rPr>
          <w:rFonts w:ascii="Times New Roman" w:cs="Times New Roman" w:eastAsia="Times New Roman" w:hAnsi="Times New Roman"/>
          <w:sz w:val="18"/>
          <w:szCs w:val="18"/>
          <w:color w:val="auto"/>
        </w:rPr>
        <w:t>On September 14, 2021, the U.S. Treasury and the FHFA suspended certain policy provisions in the Enterprise capital framework established in December 2020, including limits on loans acquired for cash consideration, multifamily loans, loans with higher risk characteristics and second homes and investment properties (the "September 2021 Provisions"). Effective April 26, 2022, the FHFA further amended this framework by, among other things, replacing the fixed leverage buffer equal to 1.5% of an Enterprise’s adjusted total assets with a dynamic leverage buffer equal to 50% of an Enterprise’s stability capital buffer, reducing the risk weight floor from 10% to 5%, and removing the requirement that the Enterprises must apply an overall effectiveness adjustment to their credit risk transfer exposures. On June 14, 2022, the Enterprises announced that they would each charge a 50 bps fee for commingled securities issued on or after July 1, 2022 to cover the additional capital required for such securities under the Enterprise capital framework, which was subsequently reduced on January 19, 2023 to 9.375 bps for commingled securities issued on or after April 1, 2023 to address industry concern that the fee posed a risk to the fungibility of the Uniform Mortgage-Backed Security and negatively impacted liquidity and pricing in the market for TBA securities. On November 30, 2023, the FHFA published a final rule, which became effective April 1, 2024, which reduced the risk weight and credit conversion factor for guarantees on commingled securities to 5% and 50%, respectively; replaced the current exposure methodology with the standardized approach for counterparty credit risk as the method for computing exposure and risk-weighted asset amounts for derivatives and cleared transactions; updated the credit score assumption to 680 for single-family mortgage exposures originated without a representative credit score; and introduced a risk weight of 20% for guarantee assets. On January 2, 2025, the U.S. Treasury and FHFA entered into a letter agreement deleting the September 2021 Provisions entirely, as well as providing additional guidance on the process for a potential end to the conservatorship of the Enterprises. Throughout 2025, there was some speculation in the market regarding progress towards an end to the conservatorship, including through an initial public offering, but a directive by the Trump administration in January 2026 that the Enterprises purchase up to $200 billion of Agency MBS from their accumulated cash reserves will increase the Enterprises’ balance sheets and exposure to mortgage risk and could make a near-term end to the conservatorship unlikely. The announcement of the directive, designed to increase liquidity and compress the spread between mortgage interest rates and the 10-year U.S. Treasury, had the intended effect immediately and significantly increased mortgage application volumes. The longer-term implications of this directive remain to be seen, with some analysts fearing a demand surge in home prices negating any affordability gains, systemic instability due to increased exposure to mortgage risk by the Enterprises, and volatility in the 10-year U.S. Treasury and mortgage interest spreads if the Fed decides to tighten monetary policy while the Trump administration is loosening it through the Enterprises. Further, the Enterprises are quickly approaching their regulatory asset caps, and it is unclear whether the FHFA will raise these caps to signal a long-term commitment to this directive or whether this is a limited intervention.</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252"/>
        <w:spacing w:after="0" w:line="253" w:lineRule="auto"/>
        <w:rPr>
          <w:sz w:val="20"/>
          <w:szCs w:val="20"/>
          <w:color w:val="auto"/>
        </w:rPr>
      </w:pPr>
      <w:r>
        <w:rPr>
          <w:rFonts w:ascii="Times New Roman" w:cs="Times New Roman" w:eastAsia="Times New Roman" w:hAnsi="Times New Roman"/>
          <w:sz w:val="18"/>
          <w:szCs w:val="18"/>
          <w:color w:val="auto"/>
        </w:rPr>
        <w:t>On July 27, 2023, the federal banking regulators, including the Office of the Comptroller of the Currency, (the "OCC") the Federal Deposit Insurance Corporation (the "FDIC") and the Fed, jointly issued a proposed rule that would revise large bank capital requirements (the "Basel III Endgame"). The Basel III Endgame, if implemented as originally proposed, would significantly increase the credit weight risk for balance-sheet mortgages and for Agency MBS sold to the GSEs, which could disincentivize banks from originating mortgages for sale to the GSEs and impact pricing in the Agency MBS markets. The comment period for the Basel III Endgame closed on January 16, 2024, and the proposed rule was met with strong objections from the banking industry. While implementation of the Basel III Endgame has since stalled, Fed Vice Chair for Supervision Michelle Bowman commented in August 2025 that a revised Basel III Endgame is expected to be issued for public comment in early 2026, which the market expects to be more capital-neutral than the original proposal. On November 25, 2025, the Fed, OCC and FDIC jointly adopted a final rule to revise the enhanced supplementary leverage ratio for globally systemically important bank holding companies (“GSIBs”). The rule, which becomes effective April 1, 2026 and may be adopted by banks subject to the rule as early as January 1, 2026, seeks to promote effective GSIB capital management and remove disincentives for banks to engage in low-risk activities, particularly in the U.S. Treasury market. This shift is expected to free up significant capital, allowing GSIBs greater discretion in asset allocation and potentially fostering increased lending and economic activity.</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scope and nature of the actions the U.S. government or the Fed will ultimately undertake are unknown and will continue to evolve.</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Effect on Us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Regulatory developments, movements in interest rates and prepayment rates affect us in many ways, including the following:</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Effects on our Assets</w:t>
      </w:r>
    </w:p>
    <w:p>
      <w:pPr>
        <w:spacing w:after="0" w:line="227" w:lineRule="exact"/>
        <w:rPr>
          <w:sz w:val="20"/>
          <w:szCs w:val="20"/>
          <w:color w:val="auto"/>
        </w:rPr>
      </w:pPr>
    </w:p>
    <w:p>
      <w:pPr>
        <w:ind w:firstLine="252"/>
        <w:spacing w:after="0" w:line="261" w:lineRule="auto"/>
        <w:rPr>
          <w:sz w:val="20"/>
          <w:szCs w:val="20"/>
          <w:color w:val="auto"/>
        </w:rPr>
      </w:pPr>
      <w:r>
        <w:rPr>
          <w:rFonts w:ascii="Times New Roman" w:cs="Times New Roman" w:eastAsia="Times New Roman" w:hAnsi="Times New Roman"/>
          <w:sz w:val="18"/>
          <w:szCs w:val="18"/>
          <w:color w:val="auto"/>
        </w:rPr>
        <w:t>A change in or elimination of the guarantee structure of Agency RMBS may increase our costs (if, for example, guarantee fees increase) or require us to change our investment strategy altogether. For example, the elimination of the guarantee structure of Agency RMBS may cause us to change our investment strategy to focus on non-Agency RMBS, which in turn would require us to significantly increase our monitoring of the credit risks of our investments in addition to interest rate and prepayment risks.</w:t>
      </w:r>
    </w:p>
    <w:p>
      <w:pPr>
        <w:spacing w:after="0" w:line="180" w:lineRule="exact"/>
        <w:rPr>
          <w:sz w:val="20"/>
          <w:szCs w:val="20"/>
          <w:color w:val="auto"/>
        </w:rPr>
      </w:pPr>
    </w:p>
    <w:p>
      <w:pPr>
        <w:ind w:firstLine="252"/>
        <w:spacing w:after="0" w:line="258" w:lineRule="auto"/>
        <w:rPr>
          <w:sz w:val="20"/>
          <w:szCs w:val="20"/>
          <w:color w:val="auto"/>
        </w:rPr>
      </w:pPr>
      <w:r>
        <w:rPr>
          <w:rFonts w:ascii="Times New Roman" w:cs="Times New Roman" w:eastAsia="Times New Roman" w:hAnsi="Times New Roman"/>
          <w:sz w:val="18"/>
          <w:szCs w:val="18"/>
          <w:color w:val="auto"/>
        </w:rPr>
        <w:t>If prepayment rates are relatively low (due, in part, to the refinancing problems described above), lower long-term interest rates can increase the value of our Agency RMBS. This is because investors typically place a premium on assets with coupon/yields that are higher than coupon/yields available in the market. To the extent such securities pre-pay slower than would otherwise be the case, we benefit from an above market coupon/yield for longer, enhancing the return from the security. Although lower long-term interest rates may increase asset values in our portfolio, we may not be able to invest new funds in similarly yielding assets.</w:t>
      </w:r>
    </w:p>
    <w:p>
      <w:pPr>
        <w:spacing w:after="0" w:line="183" w:lineRule="exact"/>
        <w:rPr>
          <w:sz w:val="20"/>
          <w:szCs w:val="20"/>
          <w:color w:val="auto"/>
        </w:rPr>
      </w:pPr>
    </w:p>
    <w:p>
      <w:pPr>
        <w:ind w:right="40" w:firstLine="252"/>
        <w:spacing w:after="0" w:line="252" w:lineRule="auto"/>
        <w:rPr>
          <w:sz w:val="20"/>
          <w:szCs w:val="20"/>
          <w:color w:val="auto"/>
        </w:rPr>
      </w:pPr>
      <w:r>
        <w:rPr>
          <w:rFonts w:ascii="Times New Roman" w:cs="Times New Roman" w:eastAsia="Times New Roman" w:hAnsi="Times New Roman"/>
          <w:sz w:val="18"/>
          <w:szCs w:val="18"/>
          <w:color w:val="auto"/>
        </w:rPr>
        <w:t>If prepayment levels increase, the value of any of our Agency RMBS that are carried at a premium to par that are affected by such prepayments may decline. This is because a principal prepayment accelerates the effective term of an Agency RMBS, which would shorten the period during which an investor would receive above-market returns (assuming the yield on the prepaid asset is higher than market yields). Also, prepayment proceeds may not be able to be reinvested in similar-yielding assets. Agency RMBS backed by mortgages with high interest rates are more susceptible to prepayment risk because holders of those mortgages are most likely to refinance to a lower rate. If prepayment levels decrease, the value of any of our Agency RMBS that are carried at a discount to par that are affected by such prepayments may increase. This is because a principal prepayment accelerates the effective term of an Agency RMBS, which would shorten the timeframe over which an investor would receive the principal of the underlying loans. Agency RMBS backed by mortgages with low interest rates are less susceptible to prepayment risk because holders of those mortgages are less likely to refinance to a higher rate. IOs and IIOs, however, may be the types of Agency RMBS most sensitive to increased prepayment rates. Because the holder of an IO or IIO receives no principal payments, the values of IOs and IIOs are entirely dependent on the existence of a principal balance on the underlying mortgages. If the principal balance is eliminated due to prepayment, IOs and IIOs essentially become worthless. Although increased prepayment rates can negatively affect the value of our IOs and IIOs, they have the opposite effect on POs. Because POs act like zero-coupon bonds, meaning they are purchased at a discount to their par value and have an effective interest rate based on the discount and the term of the underlying loan, an increase in prepayment rates would reduce the effective term of our POs and accelerate the yields earned on those assets, which would increase our net income.</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0" w:firstLine="252"/>
        <w:spacing w:after="0" w:line="254" w:lineRule="auto"/>
        <w:rPr>
          <w:sz w:val="20"/>
          <w:szCs w:val="20"/>
          <w:color w:val="auto"/>
        </w:rPr>
      </w:pPr>
      <w:r>
        <w:rPr>
          <w:rFonts w:ascii="Times New Roman" w:cs="Times New Roman" w:eastAsia="Times New Roman" w:hAnsi="Times New Roman"/>
          <w:sz w:val="18"/>
          <w:szCs w:val="18"/>
          <w:color w:val="auto"/>
        </w:rPr>
        <w:t>Higher long-term rates can also affect the value of our Agency RMBS. As long-term rates rise, rates available to borrowers also rise. This tends to cause prepayment activity to slow and extend the expected average life of mortgage cash flows. As the expected average life of the mortgage cash flows increases, coupled with higher discount rates, the value of Agency RMBS declines. Some of the instruments we use to hedge our Agency RMBS assets, such as interest rate futures, swaps and swaptions, are stable average life instruments. This means that to the extent we use such instruments to hedge our Agency RMBS assets, our hedges may not adequately protect us from price declines and therefore may negatively impact our book value. It is for this reason we use interest only securities in our portfolio. As interest rates rise, the expected average life of these securities increases, causing generally positive price movements as the number and size of the cash flows increase the longer the underlying mortgages remain outstanding. This makes interest only securities desirable hedge instruments for PT Agency RMBS.</w:t>
      </w:r>
    </w:p>
    <w:p>
      <w:pPr>
        <w:spacing w:after="0" w:line="192" w:lineRule="exact"/>
        <w:rPr>
          <w:sz w:val="20"/>
          <w:szCs w:val="20"/>
          <w:color w:val="auto"/>
        </w:rPr>
      </w:pPr>
    </w:p>
    <w:p>
      <w:pPr>
        <w:ind w:right="60" w:firstLine="252"/>
        <w:spacing w:after="0" w:line="258" w:lineRule="auto"/>
        <w:rPr>
          <w:sz w:val="20"/>
          <w:szCs w:val="20"/>
          <w:color w:val="auto"/>
        </w:rPr>
      </w:pPr>
      <w:r>
        <w:rPr>
          <w:rFonts w:ascii="Times New Roman" w:cs="Times New Roman" w:eastAsia="Times New Roman" w:hAnsi="Times New Roman"/>
          <w:sz w:val="18"/>
          <w:szCs w:val="18"/>
          <w:color w:val="auto"/>
        </w:rPr>
        <w:t>Because we base our investment decisions on risk management principles rather than anticipated movements in interest rates, in a volatile interest rate environment we may allocate more capital to structured Agency RMBS with shorter durations. We believe these securities have a lower sensitivity to changes in long-term interest rates than other asset classes. We may attempt to mitigate our exposure to changes in long-term interest rates by investing in IOs and IIOs, which typically have different sensitivities to changes in long-term interest rates than PT RMBS, particularly PT RMBS backed by fixed-rate mortgages.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Effects on our borrowing costs</w:t>
      </w:r>
    </w:p>
    <w:p>
      <w:pPr>
        <w:spacing w:after="0" w:line="227" w:lineRule="exact"/>
        <w:rPr>
          <w:sz w:val="20"/>
          <w:szCs w:val="20"/>
          <w:color w:val="auto"/>
        </w:rPr>
      </w:pPr>
    </w:p>
    <w:p>
      <w:pPr>
        <w:ind w:right="280" w:firstLine="252"/>
        <w:spacing w:after="0" w:line="261" w:lineRule="auto"/>
        <w:rPr>
          <w:sz w:val="20"/>
          <w:szCs w:val="20"/>
          <w:color w:val="auto"/>
        </w:rPr>
      </w:pPr>
      <w:r>
        <w:rPr>
          <w:rFonts w:ascii="Times New Roman" w:cs="Times New Roman" w:eastAsia="Times New Roman" w:hAnsi="Times New Roman"/>
          <w:sz w:val="18"/>
          <w:szCs w:val="18"/>
          <w:color w:val="auto"/>
        </w:rPr>
        <w:t>We leverage our PT RMBS portfolio and a portion of our structured Agency RMBS with principal balances through the use of short-term repurchase agreement transactions. The interest rates on our debt are determined by the short-term interest rate markets. Increases in the Fed Funds rate</w:t>
      </w:r>
    </w:p>
    <w:p>
      <w:pPr>
        <w:ind w:right="180"/>
        <w:spacing w:after="0" w:line="255" w:lineRule="auto"/>
        <w:rPr>
          <w:sz w:val="20"/>
          <w:szCs w:val="20"/>
          <w:color w:val="auto"/>
        </w:rPr>
      </w:pPr>
      <w:r>
        <w:rPr>
          <w:rFonts w:ascii="Times New Roman" w:cs="Times New Roman" w:eastAsia="Times New Roman" w:hAnsi="Times New Roman"/>
          <w:sz w:val="18"/>
          <w:szCs w:val="18"/>
          <w:color w:val="auto"/>
        </w:rPr>
        <w:t>or SOFR typically increase our borrowing costs, which could affect our interest rate spread if there is no corresponding increase in the interest we earn on our assets. The impact of these increases would be most prevalent with respect to our Agency RMBS backed by fixed rate mortgage loans because the interest rate on a fixed-rate mortgage loan does not change even though market rates may change.</w:t>
      </w:r>
    </w:p>
    <w:p>
      <w:pPr>
        <w:spacing w:after="0" w:line="186" w:lineRule="exact"/>
        <w:rPr>
          <w:sz w:val="20"/>
          <w:szCs w:val="20"/>
          <w:color w:val="auto"/>
        </w:rPr>
      </w:pPr>
    </w:p>
    <w:p>
      <w:pPr>
        <w:ind w:right="520" w:firstLine="252"/>
        <w:spacing w:after="0" w:line="266" w:lineRule="auto"/>
        <w:rPr>
          <w:sz w:val="20"/>
          <w:szCs w:val="20"/>
          <w:color w:val="auto"/>
        </w:rPr>
      </w:pPr>
      <w:r>
        <w:rPr>
          <w:rFonts w:ascii="Times New Roman" w:cs="Times New Roman" w:eastAsia="Times New Roman" w:hAnsi="Times New Roman"/>
          <w:sz w:val="18"/>
          <w:szCs w:val="18"/>
          <w:color w:val="auto"/>
        </w:rPr>
        <w:t>In order to protect our net interest margin against increases in short-term interest rates, we may enter into interest rate swaps, which economically convert our floating-rate repurchase agreement debt to fixed-rate debt or utilize other hedging instruments such as Fed Funds, SOFR, ERIS SOFR Swap, and T-Note futures contracts, dual digital options or interest rate swaptions.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firstLine="252"/>
        <w:spacing w:after="0" w:line="253" w:lineRule="auto"/>
        <w:rPr>
          <w:sz w:val="20"/>
          <w:szCs w:val="20"/>
          <w:color w:val="auto"/>
        </w:rPr>
      </w:pPr>
      <w:r>
        <w:rPr>
          <w:rFonts w:ascii="Times New Roman" w:cs="Times New Roman" w:eastAsia="Times New Roman" w:hAnsi="Times New Roman"/>
          <w:sz w:val="18"/>
          <w:szCs w:val="18"/>
          <w:color w:val="auto"/>
        </w:rPr>
        <w:t>The fixed income markets have experienced a period of calm as 2025 came to close and we enter 2026. Interest rates have remained in a very tight range, implied interest rate volatility has continued the steady decline that began in April of 2025, and Agency RMBS performed well during the fourth quarter of 2025. Other sectors of the fixed income markets performed well during the fourth quarter as well, and spreads on investment grade corporate bonds reached levels not seen since 1998. Risk sentiment generally was quite strong during the quarter, and the S&amp;P 500 generated a return of 2.3%. The government shutdown that started on October 1, 2025, and lasted until mid-November created a near complete data vacuum for the markets during the quarter. Once the government reopened it was several weeks before data for the quarter was available. Exacerbating the data shortage was the perception the data was of poor-quality owing to frequent and substantial revisions after the initial release. The market had limited means to gauge the strength of the economy. The Fed did lower the Fed Funds rate twice in the fourth quarter – in both cases by 25 basis points – and stated they had reached the upper end of what they deemed the range of neutral. However, owing to the lack of the most critical data on the labor market and inflation - and the fact that the data that was available did not indicate much had changed with the economy since the shutdown began – the Fed seems likely to hold rates steady for now until incoming data dictates otherwise. This seems especially likely to be the case as President Trump announced Kevin Warsh will replace current Chairman Powell in May, and the Fed is not likely to take meaningful policy steps just before a chairmanship transition.</w:t>
      </w:r>
    </w:p>
    <w:p>
      <w:pPr>
        <w:spacing w:after="0" w:line="190" w:lineRule="exact"/>
        <w:rPr>
          <w:sz w:val="20"/>
          <w:szCs w:val="20"/>
          <w:color w:val="auto"/>
        </w:rPr>
      </w:pPr>
    </w:p>
    <w:p>
      <w:pPr>
        <w:ind w:right="120" w:firstLine="252"/>
        <w:spacing w:after="0" w:line="258" w:lineRule="auto"/>
        <w:rPr>
          <w:sz w:val="20"/>
          <w:szCs w:val="20"/>
          <w:color w:val="auto"/>
        </w:rPr>
      </w:pPr>
      <w:r>
        <w:rPr>
          <w:rFonts w:ascii="Times New Roman" w:cs="Times New Roman" w:eastAsia="Times New Roman" w:hAnsi="Times New Roman"/>
          <w:sz w:val="18"/>
          <w:szCs w:val="18"/>
          <w:color w:val="auto"/>
        </w:rPr>
        <w:t>The Agency RMBS market generated a total return of 1.7% for the quarter, consistent with the solid returns for all sectors of the fixed income markets. The return for the Agency RMBS market versus comparable durations swaps, a proxy for returns for levered bond investors such as the Company, was 1.3%. During the fourth quarter, excess returns were generally even across the various 30-year coupons – with the 3.5% coupon being an outlier to the upside at 2.2%. The highest coupons, 6.0% and higher, lagged the returns of the rest of the coupon stack on an excess return basis, all between 0.5% and 0.9%.</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252"/>
        <w:spacing w:after="0" w:line="255" w:lineRule="auto"/>
        <w:rPr>
          <w:sz w:val="20"/>
          <w:szCs w:val="20"/>
          <w:color w:val="auto"/>
        </w:rPr>
      </w:pPr>
      <w:r>
        <w:rPr>
          <w:rFonts w:ascii="Times New Roman" w:cs="Times New Roman" w:eastAsia="Times New Roman" w:hAnsi="Times New Roman"/>
          <w:sz w:val="18"/>
          <w:szCs w:val="18"/>
          <w:color w:val="auto"/>
        </w:rPr>
        <w:t>Looking forward, economic activity remains resilient and could strengthen as the stimulative components of the One Big Beautiful Bill Act, passed in mid-2025, start to impact the economy – lower tax withholding, capital expenditure expensing, less regulation, among other measures. The labor market still seems weak, although it is not deteriorating. Inflation remains sticky, still above the Fed’s target level of 2%, but there do not appear to be meaningful follow-through impacts from the tariffs introduced in 2025. Monetary policy may remain steady for the time being as well. If these conditions persist, interest rates are likely to remain stable, implied interest rate volatility subdued and risk assets, including Agency RMBS, will likely perform well. This outlook will change if interest rates move substantially in either direction, especially if the movement is towards higher rates, and interest rate implied volatility increases materially.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which requires our management to make some complex and subjective decisions, estimates and assessments. Our most critical accounting policies involve decisions, estimates and assessments which can have a material impact on reported assets, liabilities, revenues and expenses and these estimates can change each reporting period. Management has identified the following as its most critical accounting estimates: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Mortgage-Backed Securities</w:t>
      </w:r>
    </w:p>
    <w:p>
      <w:pPr>
        <w:spacing w:after="0" w:line="22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Our investments in MBS are accounted for at fair value. We acquire our MBS for the purpose of generating long-term returns, and not for the short-term investment of idle capital.</w:t>
      </w:r>
    </w:p>
    <w:p>
      <w:pPr>
        <w:spacing w:after="0" w:line="162" w:lineRule="exact"/>
        <w:rPr>
          <w:sz w:val="20"/>
          <w:szCs w:val="20"/>
          <w:color w:val="auto"/>
        </w:rPr>
      </w:pPr>
    </w:p>
    <w:p>
      <w:pPr>
        <w:ind w:right="120" w:firstLine="324"/>
        <w:spacing w:after="0" w:line="277" w:lineRule="auto"/>
        <w:rPr>
          <w:sz w:val="20"/>
          <w:szCs w:val="20"/>
          <w:color w:val="auto"/>
        </w:rPr>
      </w:pPr>
      <w:r>
        <w:rPr>
          <w:rFonts w:ascii="Times New Roman" w:cs="Times New Roman" w:eastAsia="Times New Roman" w:hAnsi="Times New Roman"/>
          <w:sz w:val="17"/>
          <w:szCs w:val="17"/>
          <w:color w:val="auto"/>
        </w:rPr>
        <w:t>As discussed in Note 14 to our consolidated financial statements included in Item 8 of Part II of this Report, our MBS are valued using Level 2 valuations, and such valuations currently are determined based on independent pricing sources and/or third party broker quotes, when available. Because the price estimates may vary, management must make certain judgments and assumptions about the appropriate price to use to calculate the fair values. Alternatively, the Company could opt to have the value of all of our positions in MBS determined by either an independent third-party or do so internally. In managing our portfolio, the Company employs the following four-step process at each valuation date to determine the fair value of our MBS.</w:t>
      </w:r>
    </w:p>
    <w:p>
      <w:pPr>
        <w:spacing w:after="0" w:line="16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obtains fair values from subscription-based independent pricing services.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Company requests non-binding quotes from one to four broker-dealers for certain MBS in order to validate the values obtained by the pricing service. The Company requests these quotes from broker-dealers that actively trade and make markets in the respective asset class for which the quote is requested.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Company reviews the values obtained by the pricing source and the broker-dealers for consistency across similar assets.</w:t>
      </w:r>
    </w:p>
    <w:p>
      <w:pPr>
        <w:spacing w:after="0" w:line="9" w:lineRule="exact"/>
        <w:rPr>
          <w:rFonts w:ascii="Times New Roman" w:cs="Times New Roman" w:eastAsia="Times New Roman" w:hAnsi="Times New Roman"/>
          <w:sz w:val="18"/>
          <w:szCs w:val="18"/>
          <w:color w:val="auto"/>
        </w:rPr>
      </w:pPr>
    </w:p>
    <w:p>
      <w:pPr>
        <w:ind w:left="660" w:right="60" w:hanging="328"/>
        <w:spacing w:after="0" w:line="25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if the data from the pricing services and broker-dealers is not homogenous or if the data obtained is inconsistent with management’s market observations, the Company makes a judgment to determine which price appears the most consistent with observed prices from similar assets and selects that price. To the extent management believes that none of the prices are consistent with observed prices for similar assets, which is typically the case for only an immaterial portion of our portfolio each quarter, the Company may use a third price that is consistent with observed prices for identical or similar assets. In the case of assets that have quoted prices such as Agency MBS backed by fixed-rate mortgages, the Company generally uses the quoted or observed market price. For assets such as Agency MBS backed by ARMs or structured Agency MBS, the Company may determine the price based on the yield or spread that is identical to an observed transaction or a similar asset for which a dealer mark or subscription-based price has been obtained.</w:t>
      </w:r>
    </w:p>
    <w:p>
      <w:pPr>
        <w:spacing w:after="0" w:line="194"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Management believes its pricing methodology to be consistent with the definition of fair value described in Financial Accounting Standards Board Accounting Standards Codification Topic 820, Fair Value Measurements.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Recognition</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All of our MBS are either PT MBS or structured MBS, including CMOs, IOs, IIOs or POs. Income on PT MBS, POs and CMOs that contain principal balances is based on the stated interest rate of the security. As a result of accounting for our MBS under the fair value option, premium or discount present at the date of purchase is not amortized. For IOs, IIOs and CMOs that do not contain principal balances, income is accrued based on the carrying value and the effective yield. As cash is received it is first applied to accrued interest and then to reduce the carrying value of the security. At each reporting date, the effective yield is adjusted prospectively from the reporting period based on the new estimate of prepayments, current interest rates and current asset prices. The new effective yield is calculated based on the carrying value at the end of the previous reporting period, the new prepayment estimates and the contractual terms of the security. Changes in fair value of all of our MBS during the period are recorded in earnings and reported as unrealized gains or losses on mortgage-backed securities in the accompanying consolidated statements of operations. For IIO securities, effective yield and income recognition calculations also take into account the index value applicable to the security.</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Income taxes are provided for using the asset and liability method. Deferred tax assets and liabilities represent the differences between the financial statement and income tax bases of assets and liabilities using enacted tax rates. The measurement of net deferred tax assets is adjusted by a valuation allowance if, based on the Company’s evaluation, it is more likely than not that they will not be realized. A majority of the Company’s net deferred tax assets, which consist primarily of NOLs, are expected to be realized over an extended number of years. Management’s conclusion is supported by taxable income projections which include forecasts of management fees, Orchid dividends and net interest income, and the subsequent reinvestment of those amounts into the MBS portfolio. However, management reassesses its valuation allowance conclusions whenever there is a material change in taxable income projections.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a smaller reporting company as defined by Rule 12b-2 of the Exchange Act, we are not required to provide disclosure pursuant to this Item.</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However, we have elected to include much of the information in Item 7 above, beginning on page 38.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98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938"/>
        </w:trPr>
        <w:tc>
          <w:tcPr>
            <w:tcW w:w="98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98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2"/>
        </w:trPr>
        <w:tc>
          <w:tcPr>
            <w:tcW w:w="340" w:type="dxa"/>
            <w:vAlign w:val="bottom"/>
          </w:tcPr>
          <w:p>
            <w:pPr>
              <w:spacing w:after="0"/>
              <w:rPr>
                <w:sz w:val="24"/>
                <w:szCs w:val="24"/>
                <w:color w:val="auto"/>
              </w:rPr>
            </w:pPr>
          </w:p>
        </w:tc>
        <w:tc>
          <w:tcPr>
            <w:tcW w:w="95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(BDO USA, P.C.: West Palm Beach, FL; PCAOB ID#243)</w:t>
            </w:r>
          </w:p>
        </w:tc>
        <w:tc>
          <w:tcPr>
            <w:tcW w:w="1040" w:type="dxa"/>
            <w:vAlign w:val="bottom"/>
          </w:tcPr>
          <w:p>
            <w:pPr>
              <w:spacing w:after="0"/>
              <w:rPr>
                <w:sz w:val="24"/>
                <w:szCs w:val="24"/>
                <w:color w:val="auto"/>
              </w:rPr>
            </w:pPr>
          </w:p>
        </w:tc>
        <w:tc>
          <w:tcPr>
            <w:tcW w:w="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0000EE"/>
              </w:rPr>
              <w:t>49</w:t>
            </w:r>
          </w:p>
        </w:tc>
      </w:tr>
      <w:tr>
        <w:trPr>
          <w:trHeight w:val="196"/>
        </w:trPr>
        <w:tc>
          <w:tcPr>
            <w:tcW w:w="340" w:type="dxa"/>
            <w:vAlign w:val="bottom"/>
          </w:tcPr>
          <w:p>
            <w:pPr>
              <w:spacing w:after="0"/>
              <w:rPr>
                <w:sz w:val="17"/>
                <w:szCs w:val="17"/>
                <w:color w:val="auto"/>
              </w:rPr>
            </w:pPr>
          </w:p>
        </w:tc>
        <w:tc>
          <w:tcPr>
            <w:tcW w:w="84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102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52</w:t>
            </w:r>
          </w:p>
        </w:tc>
      </w:tr>
      <w:tr>
        <w:trPr>
          <w:trHeight w:val="20"/>
        </w:trPr>
        <w:tc>
          <w:tcPr>
            <w:tcW w:w="3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14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53</w:t>
            </w:r>
          </w:p>
        </w:tc>
      </w:tr>
      <w:tr>
        <w:trPr>
          <w:trHeight w:val="196"/>
        </w:trPr>
        <w:tc>
          <w:tcPr>
            <w:tcW w:w="34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Equity</w:t>
            </w:r>
          </w:p>
        </w:tc>
        <w:tc>
          <w:tcPr>
            <w:tcW w:w="300" w:type="dxa"/>
            <w:vAlign w:val="bottom"/>
            <w:tcBorders>
              <w:top w:val="single" w:sz="8" w:color="0000EE"/>
            </w:tcBorders>
          </w:tcPr>
          <w:p>
            <w:pPr>
              <w:spacing w:after="0"/>
              <w:rPr>
                <w:sz w:val="17"/>
                <w:szCs w:val="17"/>
                <w:color w:val="auto"/>
              </w:rPr>
            </w:pPr>
          </w:p>
        </w:tc>
        <w:tc>
          <w:tcPr>
            <w:tcW w:w="6700" w:type="dxa"/>
            <w:vAlign w:val="bottom"/>
            <w:gridSpan w:val="4"/>
          </w:tcPr>
          <w:p>
            <w:pPr>
              <w:spacing w:after="0"/>
              <w:rPr>
                <w:sz w:val="17"/>
                <w:szCs w:val="17"/>
                <w:color w:val="auto"/>
              </w:rPr>
            </w:pPr>
          </w:p>
        </w:tc>
        <w:tc>
          <w:tcPr>
            <w:tcW w:w="122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54</w:t>
            </w:r>
          </w:p>
        </w:tc>
      </w:tr>
      <w:tr>
        <w:trPr>
          <w:trHeight w:val="196"/>
        </w:trPr>
        <w:tc>
          <w:tcPr>
            <w:tcW w:w="340" w:type="dxa"/>
            <w:vAlign w:val="bottom"/>
          </w:tcPr>
          <w:p>
            <w:pPr>
              <w:spacing w:after="0"/>
              <w:rPr>
                <w:sz w:val="17"/>
                <w:szCs w:val="17"/>
                <w:color w:val="auto"/>
              </w:rPr>
            </w:pPr>
          </w:p>
        </w:tc>
        <w:tc>
          <w:tcPr>
            <w:tcW w:w="9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14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55</w:t>
            </w:r>
          </w:p>
        </w:tc>
      </w:tr>
      <w:tr>
        <w:trPr>
          <w:trHeight w:val="20"/>
        </w:trPr>
        <w:tc>
          <w:tcPr>
            <w:tcW w:w="340" w:type="dxa"/>
            <w:vAlign w:val="bottom"/>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4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56</w:t>
            </w:r>
          </w:p>
        </w:tc>
      </w:tr>
      <w:tr>
        <w:trPr>
          <w:trHeight w:val="453"/>
        </w:trPr>
        <w:tc>
          <w:tcPr>
            <w:tcW w:w="340" w:type="dxa"/>
            <w:vAlign w:val="bottom"/>
          </w:tcPr>
          <w:p>
            <w:pPr>
              <w:spacing w:after="0"/>
              <w:rPr>
                <w:sz w:val="24"/>
                <w:szCs w:val="24"/>
                <w:color w:val="auto"/>
              </w:rPr>
            </w:pPr>
          </w:p>
        </w:tc>
        <w:tc>
          <w:tcPr>
            <w:tcW w:w="3140" w:type="dxa"/>
            <w:vAlign w:val="bottom"/>
            <w:tcBorders>
              <w:top w:val="single" w:sz="8" w:color="0000EE"/>
            </w:tcBorders>
            <w:gridSpan w:val="6"/>
          </w:tcPr>
          <w:p>
            <w:pPr>
              <w:spacing w:after="0"/>
              <w:rPr>
                <w:sz w:val="24"/>
                <w:szCs w:val="24"/>
                <w:color w:val="auto"/>
              </w:rPr>
            </w:pPr>
          </w:p>
        </w:tc>
        <w:tc>
          <w:tcPr>
            <w:tcW w:w="5340" w:type="dxa"/>
            <w:vAlign w:val="bottom"/>
          </w:tcPr>
          <w:p>
            <w:pPr>
              <w:jc w:val="right"/>
              <w:ind w:right="3010"/>
              <w:spacing w:after="0"/>
              <w:rPr>
                <w:sz w:val="20"/>
                <w:szCs w:val="20"/>
                <w:color w:val="auto"/>
              </w:rPr>
            </w:pPr>
            <w:r>
              <w:rPr>
                <w:rFonts w:ascii="Times New Roman" w:cs="Times New Roman" w:eastAsia="Times New Roman" w:hAnsi="Times New Roman"/>
                <w:sz w:val="18"/>
                <w:szCs w:val="18"/>
                <w:color w:val="auto"/>
              </w:rPr>
              <w:t>48</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Bimini Capital Management, Inc.</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Vero Beach, Florida</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ind w:left="160"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Bimini Capital Management, Inc. (the “Company”) as of December 31, 2025 and 2024, the related consolidated statements of operations,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years then ended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1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60" w:right="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60" w:right="2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left="160"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Realizability of Deferred Tax Assets</w:t>
      </w:r>
    </w:p>
    <w:p>
      <w:pPr>
        <w:spacing w:after="0" w:line="229"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As described in Note 12 to the consolidated financial statements, the Company has recorded $59.8 million in gross deferred tax assets as of December 31, 2025, and a related valuation allowance of $42.2 million. In assessing the realizability of deferred tax assets, management considered both positive and negative evidence whether it was more likely than not that some portion or all of the deferred tax assets would not be realized.</w:t>
      </w:r>
    </w:p>
    <w:p>
      <w:pPr>
        <w:spacing w:after="0" w:line="176"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We identified the Company’s evaluation of the realizability of deferred tax assets as a critical audit matter. Significant management judgment was required in evaluating and weighing the positive and negative evidence that was used to assess the realizability of deferred tax assets. This judgment included the Company’s assessment over their ability to generate sufficient future taxable income. Auditing this assessment involved subjective and complex auditor judgment due to the nature of audit evidence and extent of audit effort required to address these matters, including the use of income tax professionals.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25" w:lineRule="exact"/>
        <w:rPr>
          <w:sz w:val="20"/>
          <w:szCs w:val="20"/>
          <w:color w:val="auto"/>
        </w:rPr>
      </w:pPr>
    </w:p>
    <w:p>
      <w:pPr>
        <w:jc w:val="both"/>
        <w:ind w:left="1300" w:right="120" w:hanging="320"/>
        <w:spacing w:after="0" w:line="26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income tax professionals to assist in evaluating the positive and negative evidence in assessing whether the deferred tax assets are more-likely-than-not to be utilized, and whether the estimated future sources of taxable income were sufficient to utilize the deferred tax assets in the relevant period.</w:t>
      </w:r>
    </w:p>
    <w:p>
      <w:pPr>
        <w:spacing w:after="0" w:line="175"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reasonableness of the Company’s historical ability to meet the forecasts of future taxable income period over period by evaluating the completeness and accuracy of the source information used to derive the forecasts and by performing a retrospective review of the prior year’s estimate.</w:t>
      </w:r>
    </w:p>
    <w:p>
      <w:pPr>
        <w:spacing w:after="0" w:line="175"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reasonableness of the Company’s estimate of future taxable income, including the underlying assumptions within those forecasts.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Valuation of Investments in Mortgage-Backed Securities</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described in Note 14 to the consolidated financial statements, the Company accounts for its mortgage-backed securities at fair value,</w:t>
      </w:r>
    </w:p>
    <w:p>
      <w:pPr>
        <w:spacing w:after="0" w:line="27" w:lineRule="exact"/>
        <w:rPr>
          <w:sz w:val="20"/>
          <w:szCs w:val="20"/>
          <w:color w:val="auto"/>
        </w:rPr>
      </w:pPr>
    </w:p>
    <w:p>
      <w:pPr>
        <w:jc w:val="both"/>
        <w:ind w:left="160" w:right="140"/>
        <w:spacing w:after="0" w:line="255" w:lineRule="auto"/>
        <w:rPr>
          <w:sz w:val="20"/>
          <w:szCs w:val="20"/>
          <w:color w:val="auto"/>
        </w:rPr>
      </w:pPr>
      <w:r>
        <w:rPr>
          <w:rFonts w:ascii="Times New Roman" w:cs="Times New Roman" w:eastAsia="Times New Roman" w:hAnsi="Times New Roman"/>
          <w:sz w:val="18"/>
          <w:szCs w:val="18"/>
          <w:color w:val="auto"/>
        </w:rPr>
        <w:t>which totaled $88.9 million at December 31, 2025. The fair value of mortgage-backed securities is based on independent pricing sources and/or third-party broker quotes. Because the price estimates may vary, the Company must make certain judgments and assumptions about the appropriate price to use to calculate the fair values based on various techniques.</w:t>
      </w:r>
    </w:p>
    <w:p>
      <w:pPr>
        <w:spacing w:after="0" w:line="186"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We identified the valuation of mortgage-backed securities as a critical audit matter. The principal consideration for our determination was the especially challenging nature of the audit effort involved, which included the use of valuation professionals with specialized skill and knowledge.</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  </w:t>
      </w:r>
    </w:p>
    <w:p>
      <w:pPr>
        <w:spacing w:after="0" w:line="225" w:lineRule="exact"/>
        <w:rPr>
          <w:sz w:val="20"/>
          <w:szCs w:val="20"/>
          <w:color w:val="auto"/>
        </w:rPr>
      </w:pPr>
    </w:p>
    <w:p>
      <w:pPr>
        <w:ind w:left="1300" w:right="20" w:hanging="320"/>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design and implementation of controls relating to the valuation of mortgaged-backed securities in the Company’s process to select the price from multiple pricing sources to determine the fair value.</w:t>
      </w:r>
    </w:p>
    <w:p>
      <w:pPr>
        <w:spacing w:after="0" w:line="161" w:lineRule="exact"/>
        <w:rPr>
          <w:rFonts w:ascii="Times New Roman" w:cs="Times New Roman" w:eastAsia="Times New Roman" w:hAnsi="Times New Roman"/>
          <w:sz w:val="18"/>
          <w:szCs w:val="18"/>
          <w:color w:val="auto"/>
        </w:rPr>
      </w:pPr>
    </w:p>
    <w:p>
      <w:pPr>
        <w:jc w:val="both"/>
        <w:ind w:left="1300" w:right="180" w:hanging="320"/>
        <w:spacing w:after="0" w:line="266"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personnel with specialized skill and knowledge in valuation to: (i) develop an independent estimate of the fair value of each investment utilizing third-party pricing services and independent market data; and (ii) comparing those fair value estimates to the fair value determined by the Company.</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BDO USA, P.C.</w:t>
      </w: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West Palm Beach, Florida</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March 13, 2026</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BIMINI CAPITAL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Mortgage-backed securities, at fair value</w:t>
            </w: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Pledged to counterparties</w:t>
            </w:r>
          </w:p>
        </w:tc>
        <w:tc>
          <w:tcPr>
            <w:tcW w:w="5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88,807,576</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122,093,172</w:t>
            </w:r>
          </w:p>
        </w:tc>
      </w:tr>
      <w:tr>
        <w:trPr>
          <w:trHeight w:val="203"/>
        </w:trPr>
        <w:tc>
          <w:tcPr>
            <w:tcW w:w="7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Unpledged</w:t>
            </w:r>
          </w:p>
        </w:tc>
        <w:tc>
          <w:tcPr>
            <w:tcW w:w="5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120,949</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254,998</w:t>
            </w:r>
          </w:p>
        </w:tc>
      </w:tr>
      <w:tr>
        <w:trPr>
          <w:trHeight w:val="19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88,928,525</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122,348,170</w:t>
            </w: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12,696,660</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5,671,347</w:t>
            </w: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1,621,399</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1,751,399</w:t>
            </w: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Orchid Island Capital, Inc. common stock, at fair value</w:t>
            </w:r>
          </w:p>
        </w:tc>
        <w:tc>
          <w:tcPr>
            <w:tcW w:w="5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4,097,311</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4,427,372</w:t>
            </w: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415,092</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601,640</w:t>
            </w: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1,768,864</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1,845,014</w:t>
            </w: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 net of allowances</w:t>
            </w: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17,239,648</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15,930,953</w:t>
            </w: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Due from affiliates</w:t>
            </w:r>
          </w:p>
        </w:tc>
        <w:tc>
          <w:tcPr>
            <w:tcW w:w="5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1,660,666</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1,167,396</w:t>
            </w:r>
          </w:p>
        </w:tc>
      </w:tr>
      <w:tr>
        <w:trPr>
          <w:trHeight w:val="203"/>
        </w:trPr>
        <w:tc>
          <w:tcPr>
            <w:tcW w:w="7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5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1,265,807</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1,110,366</w:t>
            </w:r>
          </w:p>
        </w:tc>
      </w:tr>
      <w:tr>
        <w:trPr>
          <w:trHeight w:val="196"/>
        </w:trPr>
        <w:tc>
          <w:tcPr>
            <w:tcW w:w="7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129,693,972</w:t>
            </w:r>
          </w:p>
        </w:tc>
        <w:tc>
          <w:tcPr>
            <w:tcW w:w="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154,853,657</w:t>
            </w:r>
          </w:p>
        </w:tc>
      </w:tr>
      <w:tr>
        <w:trPr>
          <w:trHeight w:val="20"/>
        </w:trPr>
        <w:tc>
          <w:tcPr>
            <w:tcW w:w="7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7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agreements</w:t>
            </w:r>
          </w:p>
        </w:tc>
        <w:tc>
          <w:tcPr>
            <w:tcW w:w="5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85,326,000</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117,180,999</w:t>
            </w: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5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27,346,546</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27,368,158</w:t>
            </w: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 payable</w:t>
            </w: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300,208</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474,678</w:t>
            </w:r>
          </w:p>
        </w:tc>
      </w:tr>
      <w:tr>
        <w:trPr>
          <w:trHeight w:val="203"/>
        </w:trPr>
        <w:tc>
          <w:tcPr>
            <w:tcW w:w="7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5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4,098,421</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3,008,415</w:t>
            </w:r>
          </w:p>
        </w:tc>
      </w:tr>
      <w:tr>
        <w:trPr>
          <w:trHeight w:val="196"/>
        </w:trPr>
        <w:tc>
          <w:tcPr>
            <w:tcW w:w="7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5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117,071,175</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148,032,250</w:t>
            </w:r>
          </w:p>
        </w:tc>
      </w:tr>
      <w:tr>
        <w:trPr>
          <w:trHeight w:val="196"/>
        </w:trPr>
        <w:tc>
          <w:tcPr>
            <w:tcW w:w="7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7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89"/>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100,000 shares designated Series A Junior Preferred</w:t>
            </w:r>
          </w:p>
        </w:tc>
        <w:tc>
          <w:tcPr>
            <w:tcW w:w="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3"/>
        </w:trPr>
        <w:tc>
          <w:tcPr>
            <w:tcW w:w="7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9,900,000 shares undesignated; no shares issued and outstanding</w:t>
            </w:r>
          </w:p>
        </w:tc>
        <w:tc>
          <w:tcPr>
            <w:tcW w:w="52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Common stock, $0.001 par value; 98,000,000 shares designated: 10,005,457 shares issued and outstanding</w:t>
            </w: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10,005</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10,005</w:t>
            </w: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Class B Common stock, $0.001 par value; 1,000,000 shares designated, 31,938 shares issued and outstanding</w:t>
            </w:r>
          </w:p>
        </w:tc>
        <w:tc>
          <w:tcPr>
            <w:tcW w:w="5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C Common stock, $0.001 par value; 1,000,000 shares designated, 31,938 shares issued and outstanding</w:t>
            </w: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5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329,815,150</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329,815,150</w:t>
            </w:r>
          </w:p>
        </w:tc>
      </w:tr>
      <w:tr>
        <w:trPr>
          <w:trHeight w:val="203"/>
        </w:trPr>
        <w:tc>
          <w:tcPr>
            <w:tcW w:w="7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5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(317,202,422)</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(323,003,812)</w:t>
            </w:r>
          </w:p>
        </w:tc>
      </w:tr>
      <w:tr>
        <w:trPr>
          <w:trHeight w:val="196"/>
        </w:trPr>
        <w:tc>
          <w:tcPr>
            <w:tcW w:w="7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5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12,622,797</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6,821,407</w:t>
            </w:r>
          </w:p>
        </w:tc>
      </w:tr>
      <w:tr>
        <w:trPr>
          <w:trHeight w:val="236"/>
        </w:trPr>
        <w:tc>
          <w:tcPr>
            <w:tcW w:w="7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5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129,693,972</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154,853,657</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BIMINI CAPITAL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Borders>
              <w:top w:val="single" w:sz="8" w:color="auto"/>
              <w:bottom w:val="single" w:sz="8" w:color="auto"/>
            </w:tcBorders>
          </w:tcPr>
          <w:p>
            <w:pPr>
              <w:spacing w:after="0"/>
              <w:rPr>
                <w:sz w:val="18"/>
                <w:szCs w:val="18"/>
                <w:color w:val="auto"/>
              </w:rPr>
            </w:pPr>
          </w:p>
        </w:tc>
        <w:tc>
          <w:tcPr>
            <w:tcW w:w="2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Advisory services</w:t>
            </w:r>
          </w:p>
        </w:tc>
        <w:tc>
          <w:tcPr>
            <w:tcW w:w="22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16,575,415</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12,784,468</w:t>
            </w: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6,308,786</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5,838,764</w:t>
            </w:r>
          </w:p>
        </w:tc>
      </w:tr>
      <w:tr>
        <w:trPr>
          <w:trHeight w:val="203"/>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Dividend income from Orchid Island Capital, Inc. common stock</w:t>
            </w:r>
          </w:p>
        </w:tc>
        <w:tc>
          <w:tcPr>
            <w:tcW w:w="2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819,462</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819,462</w:t>
            </w:r>
          </w:p>
        </w:tc>
      </w:tr>
      <w:tr>
        <w:trPr>
          <w:trHeight w:val="19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23,703,663</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19,442,694</w:t>
            </w: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 agreements</w:t>
            </w:r>
          </w:p>
        </w:tc>
        <w:tc>
          <w:tcPr>
            <w:tcW w:w="2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(4,676,616)</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(5,139,959)</w:t>
            </w:r>
          </w:p>
        </w:tc>
      </w:tr>
      <w:tr>
        <w:trPr>
          <w:trHeight w:val="203"/>
        </w:trPr>
        <w:tc>
          <w:tcPr>
            <w:tcW w:w="6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Long-term debt</w:t>
            </w:r>
          </w:p>
        </w:tc>
        <w:tc>
          <w:tcPr>
            <w:tcW w:w="2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(2,135,703)</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(2,401,308)</w:t>
            </w:r>
          </w:p>
        </w:tc>
      </w:tr>
      <w:tr>
        <w:trPr>
          <w:trHeight w:val="196"/>
        </w:trPr>
        <w:tc>
          <w:tcPr>
            <w:tcW w:w="6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2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16,891,344</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11,901,427</w:t>
            </w:r>
          </w:p>
        </w:tc>
      </w:tr>
      <w:tr>
        <w:trPr>
          <w:trHeight w:val="196"/>
        </w:trPr>
        <w:tc>
          <w:tcPr>
            <w:tcW w:w="6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gains (losses) on mortgage-backed securities</w:t>
            </w:r>
          </w:p>
        </w:tc>
        <w:tc>
          <w:tcPr>
            <w:tcW w:w="22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2,687,955</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(308,521)</w:t>
            </w: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losses on mortgage-backed securities</w:t>
            </w:r>
          </w:p>
        </w:tc>
        <w:tc>
          <w:tcPr>
            <w:tcW w:w="2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(219,054)</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(561,604)</w:t>
            </w: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losses on Orchid Island Capital, Inc. common stock</w:t>
            </w:r>
          </w:p>
        </w:tc>
        <w:tc>
          <w:tcPr>
            <w:tcW w:w="2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(330,061)</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(369,897)</w:t>
            </w: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(Losses) gains on derivative instruments</w:t>
            </w:r>
          </w:p>
        </w:tc>
        <w:tc>
          <w:tcPr>
            <w:tcW w:w="2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(1,933,750)</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2,407,022</w:t>
            </w:r>
          </w:p>
        </w:tc>
      </w:tr>
      <w:tr>
        <w:trPr>
          <w:trHeight w:val="203"/>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r>
      <w:tr>
        <w:trPr>
          <w:trHeight w:val="196"/>
        </w:trPr>
        <w:tc>
          <w:tcPr>
            <w:tcW w:w="6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205,090</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1,167,019</w:t>
            </w:r>
          </w:p>
        </w:tc>
      </w:tr>
      <w:tr>
        <w:trPr>
          <w:trHeight w:val="196"/>
        </w:trPr>
        <w:tc>
          <w:tcPr>
            <w:tcW w:w="6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and related benefits</w:t>
            </w:r>
          </w:p>
        </w:tc>
        <w:tc>
          <w:tcPr>
            <w:tcW w:w="22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8,309,939</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7,287,261</w:t>
            </w: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advisory service costs</w:t>
            </w:r>
          </w:p>
        </w:tc>
        <w:tc>
          <w:tcPr>
            <w:tcW w:w="2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1,694,555</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1,667,200</w:t>
            </w: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Directors' fees and liability insurance</w:t>
            </w:r>
          </w:p>
        </w:tc>
        <w:tc>
          <w:tcPr>
            <w:tcW w:w="22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871,667</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841,215</w:t>
            </w: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legal and other professional fees</w:t>
            </w:r>
          </w:p>
        </w:tc>
        <w:tc>
          <w:tcPr>
            <w:tcW w:w="2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1,124,067</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653,610</w:t>
            </w:r>
          </w:p>
        </w:tc>
      </w:tr>
      <w:tr>
        <w:trPr>
          <w:trHeight w:val="203"/>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Administrative and other expenses</w:t>
            </w:r>
          </w:p>
        </w:tc>
        <w:tc>
          <w:tcPr>
            <w:tcW w:w="2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603,511</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808,767</w:t>
            </w:r>
          </w:p>
        </w:tc>
      </w:tr>
      <w:tr>
        <w:trPr>
          <w:trHeight w:val="196"/>
        </w:trPr>
        <w:tc>
          <w:tcPr>
            <w:tcW w:w="6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2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12,603,739</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11,258,053</w:t>
            </w:r>
          </w:p>
        </w:tc>
      </w:tr>
      <w:tr>
        <w:trPr>
          <w:trHeight w:val="196"/>
        </w:trPr>
        <w:tc>
          <w:tcPr>
            <w:tcW w:w="6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before income tax (benefit) provision</w:t>
            </w:r>
          </w:p>
        </w:tc>
        <w:tc>
          <w:tcPr>
            <w:tcW w:w="2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4,492,695</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1,810,393</w:t>
            </w:r>
          </w:p>
        </w:tc>
      </w:tr>
      <w:tr>
        <w:trPr>
          <w:trHeight w:val="203"/>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2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(1,308,695)</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3,116,727</w:t>
            </w:r>
          </w:p>
        </w:tc>
      </w:tr>
      <w:tr>
        <w:trPr>
          <w:trHeight w:val="196"/>
        </w:trPr>
        <w:tc>
          <w:tcPr>
            <w:tcW w:w="61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2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5,801,390</w:t>
            </w:r>
          </w:p>
        </w:tc>
        <w:tc>
          <w:tcPr>
            <w:tcW w:w="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(1,306,334)</w:t>
            </w: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612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03"/>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Basic and Diluted Net Income (Loss) Per Share of:</w:t>
            </w:r>
          </w:p>
        </w:tc>
        <w:tc>
          <w:tcPr>
            <w:tcW w:w="2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9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COMMON STOCK</w:t>
            </w:r>
          </w:p>
        </w:tc>
        <w:tc>
          <w:tcPr>
            <w:tcW w:w="2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6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 and Diluted</w:t>
            </w:r>
          </w:p>
        </w:tc>
        <w:tc>
          <w:tcPr>
            <w:tcW w:w="22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0.58</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B COMMON STOCK</w:t>
            </w:r>
          </w:p>
        </w:tc>
        <w:tc>
          <w:tcPr>
            <w:tcW w:w="2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6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 and Diluted</w:t>
            </w:r>
          </w:p>
        </w:tc>
        <w:tc>
          <w:tcPr>
            <w:tcW w:w="22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0.58</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203"/>
        </w:trPr>
        <w:tc>
          <w:tcPr>
            <w:tcW w:w="6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2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r>
      <w:tr>
        <w:trPr>
          <w:trHeight w:val="196"/>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w:t>
            </w:r>
          </w:p>
        </w:tc>
        <w:tc>
          <w:tcPr>
            <w:tcW w:w="2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and Diluted</w:t>
            </w:r>
          </w:p>
        </w:tc>
        <w:tc>
          <w:tcPr>
            <w:tcW w:w="2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10,005,457</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10,005,457</w:t>
            </w: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CLASS B COMMON STOCK</w:t>
            </w:r>
          </w:p>
        </w:tc>
        <w:tc>
          <w:tcPr>
            <w:tcW w:w="2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and Diluted</w:t>
            </w:r>
          </w:p>
        </w:tc>
        <w:tc>
          <w:tcPr>
            <w:tcW w:w="2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31,938</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31,938</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BIMINI CAPITAL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and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420" w:type="dxa"/>
            <w:vAlign w:val="bottom"/>
            <w:tcBorders>
              <w:top w:val="single" w:sz="8" w:color="auto"/>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196"/>
        </w:trPr>
        <w:tc>
          <w:tcPr>
            <w:tcW w:w="4600" w:type="dxa"/>
            <w:vAlign w:val="bottom"/>
          </w:tcPr>
          <w:p>
            <w:pPr>
              <w:spacing w:after="0"/>
              <w:rPr>
                <w:sz w:val="17"/>
                <w:szCs w:val="17"/>
                <w:color w:val="auto"/>
              </w:rPr>
            </w:pPr>
          </w:p>
        </w:tc>
        <w:tc>
          <w:tcPr>
            <w:tcW w:w="2680" w:type="dxa"/>
            <w:vAlign w:val="bottom"/>
            <w:tcBorders>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7"/>
                <w:szCs w:val="17"/>
                <w:color w:val="auto"/>
              </w:rPr>
            </w:pP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0"/>
        </w:trPr>
        <w:tc>
          <w:tcPr>
            <w:tcW w:w="4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539"/>
              <w:spacing w:after="0" w:line="181" w:lineRule="exact"/>
              <w:rPr>
                <w:sz w:val="20"/>
                <w:szCs w:val="20"/>
                <w:color w:val="auto"/>
              </w:rPr>
            </w:pPr>
            <w:r>
              <w:rPr>
                <w:rFonts w:ascii="Times New Roman" w:cs="Times New Roman" w:eastAsia="Times New Roman" w:hAnsi="Times New Roman"/>
                <w:sz w:val="16"/>
                <w:szCs w:val="16"/>
                <w:b w:val="1"/>
                <w:bCs w:val="1"/>
                <w:color w:val="auto"/>
              </w:rPr>
              <w:t>Par</w:t>
            </w:r>
          </w:p>
        </w:tc>
        <w:tc>
          <w:tcPr>
            <w:tcW w:w="240" w:type="dxa"/>
            <w:vAlign w:val="bottom"/>
          </w:tcPr>
          <w:p>
            <w:pPr>
              <w:spacing w:after="0"/>
              <w:rPr>
                <w:sz w:val="15"/>
                <w:szCs w:val="15"/>
                <w:color w:val="auto"/>
              </w:rPr>
            </w:pPr>
          </w:p>
        </w:tc>
        <w:tc>
          <w:tcPr>
            <w:tcW w:w="1080" w:type="dxa"/>
            <w:vAlign w:val="bottom"/>
          </w:tcPr>
          <w:p>
            <w:pPr>
              <w:jc w:val="right"/>
              <w:ind w:right="339"/>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15"/>
                <w:szCs w:val="15"/>
                <w:color w:val="auto"/>
              </w:rPr>
            </w:pPr>
          </w:p>
        </w:tc>
        <w:tc>
          <w:tcPr>
            <w:tcW w:w="1140" w:type="dxa"/>
            <w:vAlign w:val="bottom"/>
          </w:tcPr>
          <w:p>
            <w:pPr>
              <w:jc w:val="right"/>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5"/>
        </w:trPr>
        <w:tc>
          <w:tcPr>
            <w:tcW w:w="4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January 1, 2024</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10,069,333</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10,069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329,815,150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(321,697,478)</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8,127,741</w:t>
            </w:r>
          </w:p>
        </w:tc>
      </w:tr>
      <w:tr>
        <w:trPr>
          <w:trHeight w:val="203"/>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(1,306,334)</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(1,306,334)</w:t>
            </w:r>
          </w:p>
        </w:tc>
      </w:tr>
      <w:tr>
        <w:trPr>
          <w:trHeight w:val="19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December 31, 2024</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10,069,333</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10,069</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329,815,150</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(323,003,812)</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6,821,407</w:t>
            </w:r>
          </w:p>
        </w:tc>
      </w:tr>
      <w:tr>
        <w:trPr>
          <w:trHeight w:val="203"/>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5,801,390</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5,801,390</w:t>
            </w:r>
          </w:p>
        </w:tc>
      </w:tr>
      <w:tr>
        <w:trPr>
          <w:trHeight w:val="236"/>
        </w:trPr>
        <w:tc>
          <w:tcPr>
            <w:tcW w:w="4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December 31, 2025</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10,069,333</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329,815,150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(317,202,422)</w:t>
            </w:r>
          </w:p>
        </w:tc>
        <w:tc>
          <w:tcPr>
            <w:tcW w:w="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12,622,797</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BIMINI CAPITAL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5,801,390</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(1,306,334)</w:t>
            </w: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5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76,150</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75,809</w:t>
            </w: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(benefit) provision</w:t>
            </w: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(1,308,695)</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3,116,727</w:t>
            </w: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(gains) losses on mortgage-backed securities</w:t>
            </w:r>
          </w:p>
        </w:tc>
        <w:tc>
          <w:tcPr>
            <w:tcW w:w="15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(2,687,955)</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308,521</w:t>
            </w: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losses on mortgage-backed securities</w:t>
            </w: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219,054</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561,604</w:t>
            </w: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losses on Orchid Island Capital, Inc. common stock</w:t>
            </w:r>
          </w:p>
        </w:tc>
        <w:tc>
          <w:tcPr>
            <w:tcW w:w="15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330,061</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369,897</w:t>
            </w: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5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186,548</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(112,980)</w:t>
            </w: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Due from affiliates</w:t>
            </w: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(493,270)</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(153,990)</w:t>
            </w:r>
          </w:p>
        </w:tc>
      </w:tr>
      <w:tr>
        <w:trPr>
          <w:trHeight w:val="203"/>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15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(155,441)</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18,672</w:t>
            </w: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(174,470)</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214,265</w:t>
            </w:r>
          </w:p>
        </w:tc>
      </w:tr>
      <w:tr>
        <w:trPr>
          <w:trHeight w:val="203"/>
        </w:trPr>
        <w:tc>
          <w:tcPr>
            <w:tcW w:w="6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Other liabilities</w:t>
            </w:r>
          </w:p>
        </w:tc>
        <w:tc>
          <w:tcPr>
            <w:tcW w:w="15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1,090,006</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99,971</w:t>
            </w:r>
          </w:p>
        </w:tc>
      </w:tr>
      <w:tr>
        <w:trPr>
          <w:trHeight w:val="196"/>
        </w:trPr>
        <w:tc>
          <w:tcPr>
            <w:tcW w:w="6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5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2,883,378</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3,192,162</w:t>
            </w:r>
          </w:p>
        </w:tc>
      </w:tr>
      <w:tr>
        <w:trPr>
          <w:trHeight w:val="196"/>
        </w:trPr>
        <w:tc>
          <w:tcPr>
            <w:tcW w:w="6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From mortgage-backed securities investments:</w:t>
            </w: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w:t>
            </w:r>
          </w:p>
        </w:tc>
        <w:tc>
          <w:tcPr>
            <w:tcW w:w="15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(90,161,778)</w:t>
            </w: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w:t>
            </w: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19,513,040</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46,252,051</w:t>
            </w:r>
          </w:p>
        </w:tc>
      </w:tr>
      <w:tr>
        <w:trPr>
          <w:trHeight w:val="203"/>
        </w:trPr>
        <w:tc>
          <w:tcPr>
            <w:tcW w:w="6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Principal repayments</w:t>
            </w:r>
          </w:p>
        </w:tc>
        <w:tc>
          <w:tcPr>
            <w:tcW w:w="15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16,375,506</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13,422,284</w:t>
            </w:r>
          </w:p>
        </w:tc>
      </w:tr>
      <w:tr>
        <w:trPr>
          <w:trHeight w:val="196"/>
        </w:trPr>
        <w:tc>
          <w:tcPr>
            <w:tcW w:w="6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5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35,888,546</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(30,487,443)</w:t>
            </w:r>
          </w:p>
        </w:tc>
      </w:tr>
      <w:tr>
        <w:trPr>
          <w:trHeight w:val="196"/>
        </w:trPr>
        <w:tc>
          <w:tcPr>
            <w:tcW w:w="6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repurchase agreements</w:t>
            </w: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888,907,478</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823,015,000</w:t>
            </w: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Principal repayments on repurchase agreements</w:t>
            </w:r>
          </w:p>
        </w:tc>
        <w:tc>
          <w:tcPr>
            <w:tcW w:w="15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(920,762,477)</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(792,741,000)</w:t>
            </w: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repayments on long-term debt</w:t>
            </w: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(21,612)</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(26,259)</w:t>
            </w:r>
          </w:p>
        </w:tc>
      </w:tr>
      <w:tr>
        <w:trPr>
          <w:trHeight w:val="203"/>
        </w:trPr>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Class A common shares repurchased and retired</w:t>
            </w:r>
          </w:p>
        </w:tc>
        <w:tc>
          <w:tcPr>
            <w:tcW w:w="15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5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(31,876,611)</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30,247,741</w:t>
            </w:r>
          </w:p>
        </w:tc>
      </w:tr>
      <w:tr>
        <w:trPr>
          <w:trHeight w:val="196"/>
        </w:trPr>
        <w:tc>
          <w:tcPr>
            <w:tcW w:w="6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6,895,313</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2,952,460</w:t>
            </w:r>
          </w:p>
        </w:tc>
      </w:tr>
      <w:tr>
        <w:trPr>
          <w:trHeight w:val="203"/>
        </w:trPr>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year</w:t>
            </w:r>
          </w:p>
        </w:tc>
        <w:tc>
          <w:tcPr>
            <w:tcW w:w="15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7,422,746</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4,470,286</w:t>
            </w:r>
          </w:p>
        </w:tc>
      </w:tr>
      <w:tr>
        <w:trPr>
          <w:trHeight w:val="236"/>
        </w:trPr>
        <w:tc>
          <w:tcPr>
            <w:tcW w:w="6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the year</w:t>
            </w:r>
          </w:p>
        </w:tc>
        <w:tc>
          <w:tcPr>
            <w:tcW w:w="15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14,318,059</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7,422,746</w:t>
            </w:r>
          </w:p>
        </w:tc>
      </w:tr>
      <w:tr>
        <w:trPr>
          <w:trHeight w:val="183"/>
        </w:trPr>
        <w:tc>
          <w:tcPr>
            <w:tcW w:w="6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w:t>
            </w:r>
          </w:p>
        </w:tc>
        <w:tc>
          <w:tcPr>
            <w:tcW w:w="15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6,986,789</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7,327,002</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BIMINI CAPITAL MANAGEMENT,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Description</w:t>
      </w:r>
    </w:p>
    <w:p>
      <w:pPr>
        <w:spacing w:after="0" w:line="22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Bimini Capital Management, Inc., a Maryland corporation (“Bimini Capital” and collectively with its subsidiaries, the “Company”) was formed in September 2003, and is a holding company. The Company operates in two business segments through its principal wholly owned operating subsidiary, Royal Palm Capital, LLC, which includes its wholly owned subsidiary, Bimini Advisors Holdings, LLC.</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Royal Palm Capital, LLC maintains an investment portfolio, consisting primarily of residential mortgage-backed securities ("MBS") investments and shares of Orchid Island Capital, Inc. ("Orchid") common stock, for its own benefit. Royal Palm Capital, LLC and its wholly owned subsidiaries are collectively referred to as "Royal Palm."</w:t>
      </w:r>
    </w:p>
    <w:p>
      <w:pPr>
        <w:spacing w:after="0" w:line="176"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Bimini Advisors Holdings, LLC and its wholly owned subsidiary, Bimini Advisors, LLC (an investment advisor registered with the Securities and Exchange Commission), are collectively referred to as "Bimini Advisors." Bimini Advisors manages an MBS portfolio for Orchid and receives fees for providing these services. Bimini Advisors also provides certain repurchase agreement trading, clearing and administrative services to Orchid. Bimini Advisors also manages the MBS portfolio of Royal Palm.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Bimini Capital and its subsidiaries, as listed above. All inter-company accounts and transactions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on the accrual basis of accounting in accordance with accounting principles generally accepted in the United States (“GAAP”). In the opinion of management, all adjustments considered necessary for a fair presentation of the Company's consolidated financial position, results of operations and cash flows have been included and are of a normal and recurring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significantly differ from those estimates. Significant estimates affecting the accompanying consolidated financial statements include determining the fair values of mortgage-backed securities (“MBS”), the amounts of asset valuation allowances, and the computation of the income tax provision or benefit and the deferred tax asset allowances recorded for each accounting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right="120" w:firstLine="450"/>
        <w:spacing w:after="0" w:line="261" w:lineRule="auto"/>
        <w:rPr>
          <w:sz w:val="20"/>
          <w:szCs w:val="20"/>
          <w:color w:val="auto"/>
        </w:rPr>
      </w:pPr>
      <w:r>
        <w:rPr>
          <w:rFonts w:ascii="Times New Roman" w:cs="Times New Roman" w:eastAsia="Times New Roman" w:hAnsi="Times New Roman"/>
          <w:sz w:val="18"/>
          <w:szCs w:val="18"/>
          <w:color w:val="auto"/>
        </w:rPr>
        <w:t>The Company’s operations are classified into two reportable segments: the asset management segment and the investment portfolio segment. These segments are evaluated by management in deciding how to allocate resources and in assessing performance. The accounting policies of the operating segments are the same as the Company’s accounting policies described in this note with the exception that inter-segment revenues and expenses are included in the presentation of segment results. For further information see Note 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 (VIEs)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 variable interest entity ("VIE") is consolidated by an enterprise if it is deemed the primary beneficiary of the VIE. The Company obtains interests in VIEs through its investments in MBS. The interests in these VIEs are passive in nature and are not expected to result in the Company obtaining a controlling financial interest in these VIEs in the future. As a result, the Company does not consolidate these VIEs and accounts for the interest in these VIEs as MBS. See Note 3. The maximum exposure to loss for these VIEs is the carrying value of the MBS.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Bimini Capital has a common share investment in a trust, Bimini Capital Trust II, ("BCTII"), used in connection with the issuance of Bimini Capital's junior subordinated notes. BCTII is a VIE, as the holders of the equity investment at risk do not have adequate decision making ability over BCTII’s activities. Bimini Capital's investment was financed directly by BCTII as a result of its loan of the proceeds to Bimini Capital, therefore that investment is not an equity investment at risk and is not a variable interest. Since Bimini Capital is not the primary beneficiary of BCTII, the Company has not consolidated the financial statements of BCTII into its consolidated financial statements, and this investment is accounted for on the equity method. See Note 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deposit with financial institutions and highly liquid investments with original maturities of three months or less at the time of purchase. Restricted cash includes cash pledged as collateral for repurchase agreements and margin for derivative instruments. The following table presents the Company’s cash, cash equivalents and restricted cash as of December 31, 2025 and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12,696,660</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5,671,347</w:t>
            </w:r>
          </w:p>
        </w:tc>
      </w:tr>
      <w:tr>
        <w:trPr>
          <w:trHeight w:val="203"/>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1,621,399</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1,751,399</w:t>
            </w:r>
          </w:p>
        </w:tc>
      </w:tr>
      <w:tr>
        <w:trPr>
          <w:trHeight w:val="236"/>
        </w:trPr>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26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14,318,059</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7,422,746</w:t>
            </w:r>
          </w:p>
        </w:tc>
      </w:tr>
    </w:tbl>
    <w:p>
      <w:pPr>
        <w:spacing w:after="0" w:line="198"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7"/>
          <w:szCs w:val="17"/>
          <w:color w:val="auto"/>
        </w:rPr>
        <w:t>The Company maintains cash balances at several banks and excess margin with one exchange clearing members. At times, balances may exceed federally insured limits. The Company has not experienced any losses related to these balances. Restricted cash balances are uninsured, but are held in separate accounts that are segregated from the general funds of the counterparty. The Company limits uninsured balances to only large, well-known banks and exchange clearing members and believes that it is not exposed to significant credit risk on cash and cash equivalents or restricted cash balances.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Services</w:t>
      </w:r>
    </w:p>
    <w:p>
      <w:pPr>
        <w:spacing w:after="0" w:line="229" w:lineRule="exact"/>
        <w:rPr>
          <w:sz w:val="20"/>
          <w:szCs w:val="20"/>
          <w:color w:val="auto"/>
        </w:rPr>
      </w:pPr>
    </w:p>
    <w:p>
      <w:pPr>
        <w:jc w:val="both"/>
        <w:ind w:right="320" w:firstLine="324"/>
        <w:spacing w:after="0" w:line="261" w:lineRule="auto"/>
        <w:rPr>
          <w:sz w:val="20"/>
          <w:szCs w:val="20"/>
          <w:color w:val="auto"/>
        </w:rPr>
      </w:pPr>
      <w:r>
        <w:rPr>
          <w:rFonts w:ascii="Times New Roman" w:cs="Times New Roman" w:eastAsia="Times New Roman" w:hAnsi="Times New Roman"/>
          <w:sz w:val="18"/>
          <w:szCs w:val="18"/>
          <w:color w:val="auto"/>
        </w:rPr>
        <w:t>Bimini Advisors manages and advises Orchid pursuant to the terms of a management agreement. See Note 2. Under the terms of the management agreement, Orchid is obligated to pay Bimini Advisors a monthly management fee and a pro rata portion of certain overhead costs and to reimburse the Company for any direct expenses incurred on its behalf. Revenues from management fees are recognized over the period of time in which the service is 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Mortgage-Backed Securities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Company invests primarily in pass-through (“PT”) MBS issued by Freddie Mac, Fannie Mae or Ginnie Mae, collateralized mortgage obligations (“CMOs”), interest-only (“IO”) securities and inverse interest-only (“IIO”) securities representing interest in or obligations backed by pools of mortgage-backed loans. The Company refers to MBS and CMOs as PT MBS and IO and IIO securities as structured MBS. The Company has elected to account for its investment in MBS under the fair value option. Electing the fair value option requires the Company to record changes in fair value in the consolidated statement of operations, which, in management’s view, more appropriately reflects the results of operations for a particular reporting period and is consistent with the underlying economics and how the portfolio is managed.</w:t>
      </w:r>
    </w:p>
    <w:p>
      <w:pPr>
        <w:spacing w:after="0" w:line="187"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Company records MBS transactions on the trade date. Security purchases that have not settled as of the balance sheet date are included in the MBS balance with an offsetting liability recorded, whereas securities sold that have not settled as of the balance sheet date are removed from the MBS balance with an offsetting receivable recorded.</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the asset or paid to transfer the liability in an orderly transaction between market participants at the measurement date. The fair value measurement assumes that the transaction to sell the asset or transfer the liability either occurs in the principal market for the asset or liability, or in the absence of a principal market, occurs in the most advantageous market for the asset or liability. Estimated fair values for MBS are based on independent pricing sources and/or third-party broker quotes, when available.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Income on PT MBS is based on the stated interest rate of the security. Premiums or discounts present at the date of purchase are not amortized. Premium loss and discount accretion resulting from monthly principal repayments are reflected in unrealized gains and losses on MBS in the consolidated statements of operations. For IO securities, the income is accrued based on the carrying value and the effective yield. The difference between income accrued and the interest received on the security is characterized as a return of investment and serves to reduce the asset’s carrying value. At each reporting date, the effective yield is adjusted prospectively for future reporting periods based on the new estimate of prepayments and the contractual terms of the security. For IIO securities, effective yield and income recognition calculations also take into account the index value applicable to the security. Changes in fair value of MBS during each reporting period are recorded in earnings and reported as unrealized gains or losses on MBS in the accompanying consolidated statements of operations. The amount reported as unrealized gains or losses on MBS thus captures the net effect of changes in the fair market value of securities caused by market developments and any premium or discount lost as a result of principal repayments during the period. Realized gains and losses on sales of MBS, using the specific identification method, are reported as a separate component of net portfolio income on the statement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Orchid Island Capital, Inc. Common Stock</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accounts for its investment in Orchid common shares at fair value. The change in the fair value and dividends received on this investment are reflected in the consolidated statements of operations for each reporting period. We estimate the fair value of Orchid's common shares on a market approach using “Level 1” inputs based on the quoted market price of Orchid’s common stock on a national stock exchange.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jc w:val="both"/>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has historically used derivative instruments to manage interest rate risk, facilitate asset/liability strategies and manage other exposures, and it may continue to do so in the future. The principal instruments that the Company has used are interest rate futures contracts, and “to-be-announced” (“TBA”) securities. The Company accounts for TBA securities as derivative instruments. Other types of derivative instruments may be used in the future. Gains and losses associated with derivative transactions are reported in gain (loss) on derivative instruments in the accompanying consolidated statements of operations.</w:t>
      </w:r>
    </w:p>
    <w:p>
      <w:pPr>
        <w:spacing w:after="0" w:line="183"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only held U.S. Treasury Note ("T-Note") and Secured Overnight Financing Rate ("SOFR") futures contracts. The Company recorded income (loss) of approximately $(1.9) million and $2.4 million on these instruments during the years ended December 31, 2025 and 2024, respectively.</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Derivative instruments are carried at fair value, and changes in fair value are recorded in the consolidated statements of operations for each period. The Company’s derivative financial instruments are not designated as hedge accounting relationships, but rather are used as economic hedges of its portfolio assets and liabilities. Gains and losses on derivatives, except those that result in cash receipts or payments, are included in operating activities on the statements of cash flows. Cash payments and cash receipts from settlements of derivatives, including current period net cash settlements on interest rate swaps, is classified as an investing activity on the statements of cash flows. The Company's derivative agreements generally contain provisions that allow for netting or setting off derivative assets and liabilities with the counterparty; however, related assets and liabilities are reported on a gross basis in the Company's consolidated balance sheets. Derivative instruments in a gain position, if any, are reported as derivative assets at fair value and derivative instruments in a loss position, if any, are reported as derivative liabilities at fair value in the consolidated balance sheets.</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Holding derivatives creates exposure to credit risk related to the potential for failure by counterparties to honor their commitments. In the event of default by a counterparty, the Company may have difficulty recovering its collateral and may not receive payments provided for under the terms of the agreement. The Company’s derivative agreements require it to post or receive collateral to mitigate such risk. In addition, the Company uses only registered central clearing exchanges and well-established commercial banks as counterparties, monitors positions with individual counterparties and adjusts posted collateral as required. The Company’s futures contracts are exchange traded contracts that are valued based on exchange pricing with daily margin requirements. The margin requirement varies based on the market value of the open position and the equity retained in the account. Margin posted is treated as settlement of the outstanding value of the futures contract. Any margin excess or deficit outstanding is recorded as a receivable or payable as of the date of the Company’s balance sheets. The Company realizes gains and losses on these contracts upon expiration equal to the difference between the current fair value of the underlying asset and the contractual price of the futures contract.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is disclosed either in the body of the consolidated financial statements or in the accompanying notes. MBS, Orchid common stock and derivative assets and liabilities are accounted for at fair value in the consolidated balance sheets. The methods and assumptions used to estimate fair value for these instruments are presented in Note 14.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Property and equipment, net, consists of computer equipment with a depreciable life of 3 years, office furniture and equipment with depreciable lives of 8 to 20 years, land which has no depreciable life, and buildings and improvements with depreciable lives of 30 years. Property and equipment is recorded at acquisition cost and depreciated to their respective salvage values using the straight-line method over the estimated useful lives of the assets. Depreciation is included in administrative and other expenses in the consolidated statement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Agreements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finances the acquisition of the majority of its PT MBS through the use of repurchase agreements under master repurchase agreements. Repurchase agreements are accounted for as collateralized financing transactions, which are carried at their contractual amounts, including accrued interest, as specified in the respective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Basic EPS is calculated as income available to common stockholders divided by the weighted average number of common shares outstanding during the period. Diluted EPS is calculated using the treasury stock or two-class method, as applicable for common stock equivalents. However, the common stock equivalents are not included in computing diluted EPS if the result is anti-dilutive.</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Outstanding shares of Class B Common Stock, participating and convertible into Class A Common Stock, are entitled to receive dividends in an amount equal to the dividends declared, if any, on each share of Class A Common Stock. Accordingly, shares of the Class B Common Stock are included in the computation of basic EPS using the two-class method and, consequently, are presented separately from Class A Common Stock.</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shares of Class C Common Stock are not included in the basic EPS computation as these shares do not have participation rights. The outstanding shares of Class B and Class C Common Stock are not included in the computation of diluted EPS for the Class A Common Stock as the conditions for conversion into shares of Class A Common Stock were not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Income taxes are provided for using the asset and liability method. Deferred tax assets and liabilities represent the differences between the financial statement and income tax bases of assets and liabilities using enacted tax rates. The measurement of net deferred tax assets is adjusted by a valuation allowance if, based on the Company’s evaluation, it is more likely than not that they will not be fully realized in future accounting periods.</w:t>
      </w:r>
    </w:p>
    <w:p>
      <w:pPr>
        <w:spacing w:after="0" w:line="17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Company’s U.S. federal income tax returns for years ended on or after December 31, 2022 remain open for examination. Although management believes its calculations for tax returns are correct and the positions taken thereon are reasonable, the final outcome of a tax examination, should it occur, could be materially different from the tax returns filed by the Company, and those differences could result in significant costs or benefits to the Company. Bimini Capital and its includable subsidiaries, and Royal Palm and its includable subsidiaries, file their tax returns as separate tax paying entities.</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assesses the likelihood, based on their technical merit, that uncertain tax positions will be sustained during a tax examination based on the facts, circumstances and information available. The measurement of uncertain tax positions is adjusted when new information is available, or when an event occurs that requires a change. The Company recognizes tax positions in the consolidated financial statements only when it is more likely than not that the position will be sustained upon examination by the relevant taxing authority based on the technical merits of the position. A position that meets this standard is measured at the largest amount of benefit that will more likely than not be realized upon settlement. The difference between the benefit recognized and the tax benefit claimed on a tax return is referred to as an unrecognized tax benefit and is recorded as a liability in the consolidated balance sheets. The Company has recorded no such liabilities. The Company records income tax-related interest and penalties, if applicable, within the income tax provision.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40" w:firstLine="45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requires, among other things, greater disaggregation of information in the income tax rate reconciliation and for paid income taxes to be disaggregated by jurisdiction. The Company adopted ASU No. 2023-09 in the current period and retrospectively. The adoption of ASU No. 2023-09 did not have any impact on the financial statements or results of operations.</w:t>
      </w:r>
    </w:p>
    <w:p>
      <w:pPr>
        <w:spacing w:after="0" w:line="180" w:lineRule="exact"/>
        <w:rPr>
          <w:sz w:val="20"/>
          <w:szCs w:val="20"/>
          <w:color w:val="auto"/>
        </w:rPr>
      </w:pPr>
    </w:p>
    <w:p>
      <w:pPr>
        <w:ind w:right="120" w:firstLine="45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Income Statement—Reporting Comprehensive Income—Expense Disaggregation Disclosures (Subtopic 220-40):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The amendments in the ASU require disclosures about specific types of expenses included in the expense captions presented on the Consolidated Statements of Income, as well as disclosures about selling expenses. ASU 2024-03 is effective for fiscal years beginning after December 15, 2026, with early adoption allowed. We are currently evaluating the impact of adoption on our financial disclosures.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ADVISORY SERVICES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Bimini Advisors serves as the manager and advisor for Orchid pursuant to the terms of a management agreement. As Manager, Bimini Advisors is responsible for administering Orchid's business activities and day-to-day operations. Pursuant to the terms of the management agreement, Bimini Advisors provides Orchid with its management team, including its officers, along with appropriate support personnel. Bimini Advisors is at all times subject to the supervision and oversight of Orchid's board of directors and has only such functions and authority as delegated to it. Bimini Advisors receives a monthly management fee in the amount of:</w:t>
      </w:r>
    </w:p>
    <w:p>
      <w:pPr>
        <w:spacing w:after="0" w:line="18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1.50% of the first $250 million of the Orchid’s month-end equity, as defined in the management agreement,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1.25% of the Orchid’s month-end equity that is greater than $250 million and less than or equal to $500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1.00% of the Orchid’s month-end equity that is greater than $500 million.</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also provides certain repurchase agreement trading, clearing and administrative services to Orchid. In consideration for such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Orchid pays the following fees to the Company:</w:t>
      </w:r>
    </w:p>
    <w:p>
      <w:pPr>
        <w:spacing w:after="0" w:line="207" w:lineRule="exact"/>
        <w:rPr>
          <w:sz w:val="20"/>
          <w:szCs w:val="20"/>
          <w:color w:val="auto"/>
        </w:rPr>
      </w:pPr>
    </w:p>
    <w:p>
      <w:pPr>
        <w:ind w:left="660" w:right="120" w:hanging="328"/>
        <w:spacing w:after="0" w:line="257"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daily fee equal to the outstanding principal balance of repurchase agreement funding in place as of the end of such day multiplied by 1.5 basis points for the amount of aggregate outstanding principal balance less than or equal to $5 billion, and multiplied by 1.0 basis point for any amount of aggregate outstanding principal balance in excess of $5 billion,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clearing and operational services provided by personnel of the Manager equal to $10,000 per month.</w:t>
      </w:r>
    </w:p>
    <w:p>
      <w:pPr>
        <w:spacing w:after="0" w:line="20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Orchid is obligated to reimburse Bimini Advisors for any direct expenses incurred on its behalf and to pay to Bimini Advisors an amount equal to Orchid's pro rata portion of certain overhead costs set forth in the management agreement. Orchid is required to pay Bimini Advisors by the 15th day of the month following the month the services are performed. The management agreement has been renewed through February 20, 2027 and provides for automatic one-year extension options thereafter. Should Orchid terminate the management agreement without cause, it will be obligated to pay Bimini Advisors a termination fee equal to three times the average annual management fee, as defined in the management agreement, before or on the last day of the applicable renewal term.</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advisory services revenue from Orchid for the years ended December 31, 2025 and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20" w:type="dxa"/>
            <w:vAlign w:val="bottom"/>
            <w:tcBorders>
              <w:top w:val="single" w:sz="8" w:color="auto"/>
              <w:bottom w:val="single" w:sz="8" w:color="auto"/>
            </w:tcBorders>
          </w:tcPr>
          <w:p>
            <w:pPr>
              <w:spacing w:after="0"/>
              <w:rPr>
                <w:sz w:val="17"/>
                <w:szCs w:val="17"/>
                <w:color w:val="auto"/>
              </w:rPr>
            </w:pPr>
          </w:p>
        </w:tc>
        <w:tc>
          <w:tcPr>
            <w:tcW w:w="3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 fee</w:t>
            </w:r>
          </w:p>
        </w:tc>
        <w:tc>
          <w:tcPr>
            <w:tcW w:w="354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12,723</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9,354</w:t>
            </w: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Allocated overhead</w:t>
            </w:r>
          </w:p>
        </w:tc>
        <w:tc>
          <w:tcPr>
            <w:tcW w:w="354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2,782</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2,644</w:t>
            </w:r>
          </w:p>
        </w:tc>
      </w:tr>
      <w:tr>
        <w:trPr>
          <w:trHeight w:val="203"/>
        </w:trPr>
        <w:tc>
          <w:tcPr>
            <w:tcW w:w="5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clearing and administrative fee</w:t>
            </w:r>
          </w:p>
        </w:tc>
        <w:tc>
          <w:tcPr>
            <w:tcW w:w="35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1,070</w:t>
            </w:r>
          </w:p>
        </w:tc>
        <w:tc>
          <w:tcPr>
            <w:tcW w:w="4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786</w:t>
            </w:r>
          </w:p>
        </w:tc>
      </w:tr>
      <w:tr>
        <w:trPr>
          <w:trHeight w:val="196"/>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354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16,575</w:t>
            </w:r>
          </w:p>
        </w:tc>
        <w:tc>
          <w:tcPr>
            <w:tcW w:w="4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12,784</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and 2024, the net amount due from Orchid was approximately $1.7 million and $1.2 million,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MORTGAGE-BACKED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MBS portfolio as of December 31, 2025 and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6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4"/>
              <w:spacing w:after="0" w:line="210" w:lineRule="exact"/>
              <w:rPr>
                <w:sz w:val="20"/>
                <w:szCs w:val="20"/>
                <w:color w:val="auto"/>
              </w:rPr>
            </w:pPr>
            <w:r>
              <w:rPr>
                <w:rFonts w:ascii="Times New Roman" w:cs="Times New Roman" w:eastAsia="Times New Roman" w:hAnsi="Times New Roman"/>
                <w:sz w:val="15"/>
                <w:szCs w:val="15"/>
                <w:b w:val="1"/>
                <w:bCs w:val="1"/>
                <w:color w:val="auto"/>
              </w:rPr>
              <w:t>Cost</w:t>
            </w:r>
            <w:r>
              <w:rPr>
                <w:rFonts w:ascii="Times New Roman" w:cs="Times New Roman" w:eastAsia="Times New Roman" w:hAnsi="Times New Roman"/>
                <w:sz w:val="24"/>
                <w:szCs w:val="24"/>
                <w:b w:val="1"/>
                <w:bCs w:val="1"/>
                <w:color w:val="auto"/>
                <w:vertAlign w:val="superscript"/>
              </w:rPr>
              <w:t>(1)</w:t>
            </w:r>
          </w:p>
        </w:tc>
        <w:tc>
          <w:tcPr>
            <w:tcW w:w="3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86,293</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87,266</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88,929</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120,502</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123,878</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122,348</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cost information in the table above represents the aggregate current par value, multiplied by the purchase price of each security in the portfolio.</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summary of the Company's net loss from the sale of MBS for the years ended December 31, 2025 and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40" w:type="dxa"/>
            <w:vAlign w:val="bottom"/>
            <w:tcBorders>
              <w:top w:val="single" w:sz="8" w:color="auto"/>
              <w:bottom w:val="single" w:sz="8" w:color="auto"/>
            </w:tcBorders>
          </w:tcPr>
          <w:p>
            <w:pPr>
              <w:spacing w:after="0"/>
              <w:rPr>
                <w:sz w:val="17"/>
                <w:szCs w:val="17"/>
                <w:color w:val="auto"/>
              </w:rPr>
            </w:pPr>
          </w:p>
        </w:tc>
        <w:tc>
          <w:tcPr>
            <w:tcW w:w="4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sales of MBS</w:t>
            </w:r>
          </w:p>
        </w:tc>
        <w:tc>
          <w:tcPr>
            <w:tcW w:w="402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19,513</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46,252</w:t>
            </w:r>
          </w:p>
        </w:tc>
      </w:tr>
      <w:tr>
        <w:trPr>
          <w:trHeight w:val="203"/>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Carrying value of MBS sold</w:t>
            </w:r>
          </w:p>
        </w:tc>
        <w:tc>
          <w:tcPr>
            <w:tcW w:w="4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19,732</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46,814</w:t>
            </w:r>
          </w:p>
        </w:tc>
      </w:tr>
      <w:tr>
        <w:trPr>
          <w:trHeight w:val="236"/>
        </w:trPr>
        <w:tc>
          <w:tcPr>
            <w:tcW w:w="4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on sales of MBS</w:t>
            </w:r>
          </w:p>
        </w:tc>
        <w:tc>
          <w:tcPr>
            <w:tcW w:w="402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183"/>
        </w:trPr>
        <w:tc>
          <w:tcPr>
            <w:tcW w:w="49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gain sales of MBS</w:t>
            </w:r>
          </w:p>
        </w:tc>
        <w:tc>
          <w:tcPr>
            <w:tcW w:w="402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Gross loss on sales of MBS</w:t>
            </w:r>
          </w:p>
        </w:tc>
        <w:tc>
          <w:tcPr>
            <w:tcW w:w="4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236"/>
        </w:trPr>
        <w:tc>
          <w:tcPr>
            <w:tcW w:w="4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on sales of MBS</w:t>
            </w:r>
          </w:p>
        </w:tc>
        <w:tc>
          <w:tcPr>
            <w:tcW w:w="402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composition of property and equipment as of December 31, 2025 and 2024 follows: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60" w:type="dxa"/>
            <w:vAlign w:val="bottom"/>
            <w:tcBorders>
              <w:top w:val="single" w:sz="8" w:color="auto"/>
              <w:bottom w:val="single" w:sz="8" w:color="auto"/>
            </w:tcBorders>
          </w:tcPr>
          <w:p>
            <w:pPr>
              <w:spacing w:after="0"/>
              <w:rPr>
                <w:sz w:val="17"/>
                <w:szCs w:val="17"/>
                <w:color w:val="auto"/>
              </w:rPr>
            </w:pPr>
          </w:p>
        </w:tc>
        <w:tc>
          <w:tcPr>
            <w:tcW w:w="3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w:t>
            </w:r>
          </w:p>
        </w:tc>
        <w:tc>
          <w:tcPr>
            <w:tcW w:w="34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1,185</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1,185</w:t>
            </w:r>
          </w:p>
        </w:tc>
      </w:tr>
      <w:tr>
        <w:trPr>
          <w:trHeight w:val="20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342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1,827</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1,827</w:t>
            </w:r>
          </w:p>
        </w:tc>
      </w:tr>
      <w:tr>
        <w:trPr>
          <w:trHeight w:val="20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34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r>
      <w:tr>
        <w:trPr>
          <w:trHeight w:val="203"/>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3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220</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220</w:t>
            </w:r>
          </w:p>
        </w:tc>
      </w:tr>
      <w:tr>
        <w:trPr>
          <w:trHeight w:val="19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cost</w:t>
            </w:r>
          </w:p>
        </w:tc>
        <w:tc>
          <w:tcPr>
            <w:tcW w:w="34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3,277</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3,277</w:t>
            </w:r>
          </w:p>
        </w:tc>
      </w:tr>
      <w:tr>
        <w:trPr>
          <w:trHeight w:val="203"/>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3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w:t>
            </w:r>
          </w:p>
        </w:tc>
      </w:tr>
      <w:tr>
        <w:trPr>
          <w:trHeight w:val="236"/>
        </w:trPr>
        <w:tc>
          <w:tcPr>
            <w:tcW w:w="5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1,769</w:t>
            </w:r>
          </w:p>
        </w:tc>
        <w:tc>
          <w:tcPr>
            <w:tcW w:w="4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1,845</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OTHER ASSETS AND OTHER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composition of other assets as of</w:t>
            </w:r>
          </w:p>
        </w:tc>
        <w:tc>
          <w:tcPr>
            <w:tcW w:w="5260" w:type="dxa"/>
            <w:vAlign w:val="bottom"/>
          </w:tcPr>
          <w:p>
            <w:pPr>
              <w:jc w:val="right"/>
              <w:ind w:right="2375"/>
              <w:spacing w:after="0"/>
              <w:rPr>
                <w:sz w:val="20"/>
                <w:szCs w:val="20"/>
                <w:color w:val="auto"/>
              </w:rPr>
            </w:pPr>
            <w:r>
              <w:rPr>
                <w:rFonts w:ascii="Times New Roman" w:cs="Times New Roman" w:eastAsia="Times New Roman" w:hAnsi="Times New Roman"/>
                <w:sz w:val="18"/>
                <w:szCs w:val="18"/>
                <w:color w:val="auto"/>
              </w:rPr>
              <w:t>December 31, 2025 and 2024 follows:</w:t>
            </w: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5"/>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9"/>
        </w:trPr>
        <w:tc>
          <w:tcPr>
            <w:tcW w:w="3060" w:type="dxa"/>
            <w:vAlign w:val="bottom"/>
            <w:tcBorders>
              <w:bottom w:val="single" w:sz="8" w:color="auto"/>
            </w:tcBorders>
          </w:tcPr>
          <w:p>
            <w:pPr>
              <w:spacing w:after="0"/>
              <w:rPr>
                <w:sz w:val="17"/>
                <w:szCs w:val="17"/>
                <w:color w:val="auto"/>
              </w:rPr>
            </w:pPr>
          </w:p>
        </w:tc>
        <w:tc>
          <w:tcPr>
            <w:tcW w:w="5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Bimini Capital Trust II</w:t>
            </w:r>
          </w:p>
        </w:tc>
        <w:tc>
          <w:tcPr>
            <w:tcW w:w="52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804</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804</w:t>
            </w: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5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391</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w:t>
            </w:r>
          </w:p>
        </w:tc>
      </w:tr>
      <w:tr>
        <w:trPr>
          <w:trHeight w:val="203"/>
        </w:trPr>
        <w:tc>
          <w:tcPr>
            <w:tcW w:w="3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5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c>
          <w:tcPr>
            <w:tcW w:w="4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w:t>
            </w:r>
          </w:p>
        </w:tc>
      </w:tr>
      <w:tr>
        <w:trPr>
          <w:trHeight w:val="196"/>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other assets</w:t>
            </w:r>
          </w:p>
        </w:tc>
        <w:tc>
          <w:tcPr>
            <w:tcW w:w="52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1,266</w:t>
            </w:r>
          </w:p>
        </w:tc>
        <w:tc>
          <w:tcPr>
            <w:tcW w:w="4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1,110</w:t>
            </w: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12"/>
        </w:trPr>
        <w:tc>
          <w:tcPr>
            <w:tcW w:w="3060" w:type="dxa"/>
            <w:vAlign w:val="bottom"/>
          </w:tcPr>
          <w:p>
            <w:pPr>
              <w:spacing w:after="0"/>
              <w:rPr>
                <w:sz w:val="24"/>
                <w:szCs w:val="24"/>
                <w:color w:val="auto"/>
              </w:rPr>
            </w:pPr>
          </w:p>
        </w:tc>
        <w:tc>
          <w:tcPr>
            <w:tcW w:w="5260" w:type="dxa"/>
            <w:vAlign w:val="bottom"/>
          </w:tcPr>
          <w:p>
            <w:pPr>
              <w:jc w:val="right"/>
              <w:ind w:right="2515"/>
              <w:spacing w:after="0"/>
              <w:rPr>
                <w:sz w:val="20"/>
                <w:szCs w:val="20"/>
                <w:color w:val="auto"/>
              </w:rPr>
            </w:pPr>
            <w:r>
              <w:rPr>
                <w:rFonts w:ascii="Times New Roman" w:cs="Times New Roman" w:eastAsia="Times New Roman" w:hAnsi="Times New Roman"/>
                <w:sz w:val="18"/>
                <w:szCs w:val="18"/>
                <w:color w:val="auto"/>
              </w:rPr>
              <w:t>61</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3060" w:type="dxa"/>
            <w:vAlign w:val="bottom"/>
            <w:tcBorders>
              <w:bottom w:val="single" w:sz="8" w:color="auto"/>
            </w:tcBorders>
          </w:tcPr>
          <w:p>
            <w:pPr>
              <w:spacing w:after="0"/>
              <w:rPr>
                <w:sz w:val="10"/>
                <w:szCs w:val="10"/>
                <w:color w:val="auto"/>
              </w:rPr>
            </w:pPr>
          </w:p>
        </w:tc>
        <w:tc>
          <w:tcPr>
            <w:tcW w:w="5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79"/>
        </w:trPr>
        <w:tc>
          <w:tcPr>
            <w:tcW w:w="3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composition of other liabilities as of</w:t>
            </w:r>
          </w:p>
        </w:tc>
        <w:tc>
          <w:tcPr>
            <w:tcW w:w="5020" w:type="dxa"/>
            <w:vAlign w:val="bottom"/>
          </w:tcPr>
          <w:p>
            <w:pPr>
              <w:jc w:val="right"/>
              <w:ind w:right="2136"/>
              <w:spacing w:after="0"/>
              <w:rPr>
                <w:sz w:val="20"/>
                <w:szCs w:val="20"/>
                <w:color w:val="auto"/>
              </w:rPr>
            </w:pPr>
            <w:r>
              <w:rPr>
                <w:rFonts w:ascii="Times New Roman" w:cs="Times New Roman" w:eastAsia="Times New Roman" w:hAnsi="Times New Roman"/>
                <w:sz w:val="18"/>
                <w:szCs w:val="18"/>
                <w:color w:val="auto"/>
              </w:rPr>
              <w:t>December 31, 2025 and 2024 follows:</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6"/>
        </w:trPr>
        <w:tc>
          <w:tcPr>
            <w:tcW w:w="3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9"/>
        </w:trPr>
        <w:tc>
          <w:tcPr>
            <w:tcW w:w="12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50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payroll</w:t>
            </w:r>
          </w:p>
        </w:tc>
        <w:tc>
          <w:tcPr>
            <w:tcW w:w="50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3,583</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2,867</w:t>
            </w:r>
          </w:p>
        </w:tc>
      </w:tr>
      <w:tr>
        <w:trPr>
          <w:trHeight w:val="203"/>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50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w:t>
            </w:r>
          </w:p>
        </w:tc>
        <w:tc>
          <w:tcPr>
            <w:tcW w:w="4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r>
      <w:tr>
        <w:trPr>
          <w:trHeight w:val="203"/>
        </w:trPr>
        <w:tc>
          <w:tcPr>
            <w:tcW w:w="33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50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w:t>
            </w:r>
          </w:p>
        </w:tc>
        <w:tc>
          <w:tcPr>
            <w:tcW w:w="4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r>
      <w:tr>
        <w:trPr>
          <w:trHeight w:val="196"/>
        </w:trPr>
        <w:tc>
          <w:tcPr>
            <w:tcW w:w="3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Total other liabilities</w:t>
            </w:r>
          </w:p>
        </w:tc>
        <w:tc>
          <w:tcPr>
            <w:tcW w:w="50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4,098</w:t>
            </w:r>
          </w:p>
        </w:tc>
        <w:tc>
          <w:tcPr>
            <w:tcW w:w="4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3,008</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REPURCHASE AGREEMENTS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pledges certain of its MBS as collateral under repurchase agreements with financial institutions. Interest rates are generally fixed based on prevailing rates corresponding to the terms of the borrowings, and interest is generally paid at the termination of a borrowing. If the fair value of the pledged securities declines, lenders will typically require the Company to post additional collateral or pay down borrowings to re-establish agreed upon collateral requirements, referred to as "margin calls." Similarly, if the fair value of the pledged securities increases, lenders may release collateral back to the Company. As of December 31, 2025, the Company had met all margin call requirements.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and 2024, the Company’s repurchase agreements had remaining maturities as summarized below:</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Overnight</w:t>
            </w:r>
          </w:p>
        </w:tc>
        <w:tc>
          <w:tcPr>
            <w:tcW w:w="2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Between</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Between</w:t>
            </w: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Greater</w:t>
            </w: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203"/>
        </w:trPr>
        <w:tc>
          <w:tcPr>
            <w:tcW w:w="4560" w:type="dxa"/>
            <w:vAlign w:val="bottom"/>
          </w:tcPr>
          <w:p>
            <w:pPr>
              <w:spacing w:after="0"/>
              <w:rPr>
                <w:sz w:val="17"/>
                <w:szCs w:val="17"/>
                <w:color w:val="auto"/>
              </w:rPr>
            </w:pPr>
          </w:p>
        </w:tc>
        <w:tc>
          <w:tcPr>
            <w:tcW w:w="106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(1 Day</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2 and</w:t>
            </w:r>
          </w:p>
        </w:tc>
        <w:tc>
          <w:tcPr>
            <w:tcW w:w="220" w:type="dxa"/>
            <w:vAlign w:val="bottom"/>
          </w:tcPr>
          <w:p>
            <w:pPr>
              <w:spacing w:after="0"/>
              <w:rPr>
                <w:sz w:val="17"/>
                <w:szCs w:val="17"/>
                <w:color w:val="auto"/>
              </w:rPr>
            </w:pPr>
          </w:p>
        </w:tc>
        <w:tc>
          <w:tcPr>
            <w:tcW w:w="112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31 and</w:t>
            </w:r>
          </w:p>
        </w:tc>
        <w:tc>
          <w:tcPr>
            <w:tcW w:w="240" w:type="dxa"/>
            <w:vAlign w:val="bottom"/>
          </w:tcPr>
          <w:p>
            <w:pPr>
              <w:spacing w:after="0"/>
              <w:rPr>
                <w:sz w:val="17"/>
                <w:szCs w:val="17"/>
                <w:color w:val="auto"/>
              </w:rPr>
            </w:pPr>
          </w:p>
        </w:tc>
        <w:tc>
          <w:tcPr>
            <w:tcW w:w="104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Than</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5"/>
        </w:trPr>
        <w:tc>
          <w:tcPr>
            <w:tcW w:w="4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8"/>
              </w:rPr>
              <w:t>or Less)</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7"/>
              </w:rPr>
              <w:t>30 DAYS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securities pledged, including accrued interest receivable</w:t>
            </w:r>
          </w:p>
        </w:tc>
        <w:tc>
          <w:tcPr>
            <w:tcW w:w="106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70,681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18,539</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89,220</w:t>
            </w: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Repurchase agreement liabilities associated with these securities</w:t>
            </w:r>
          </w:p>
        </w:tc>
        <w:tc>
          <w:tcPr>
            <w:tcW w:w="106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67,669</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17,657</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85,326</w:t>
            </w:r>
          </w:p>
        </w:tc>
      </w:tr>
      <w:tr>
        <w:trPr>
          <w:trHeight w:val="203"/>
        </w:trPr>
        <w:tc>
          <w:tcPr>
            <w:tcW w:w="4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weighted average borrowing rate</w:t>
            </w:r>
          </w:p>
        </w:tc>
        <w:tc>
          <w:tcPr>
            <w:tcW w:w="10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196"/>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securities pledged, including accrued interest receivable</w:t>
            </w:r>
          </w:p>
        </w:tc>
        <w:tc>
          <w:tcPr>
            <w:tcW w:w="106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84,954</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17,675</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20,063</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122,692</w:t>
            </w:r>
          </w:p>
        </w:tc>
      </w:tr>
      <w:tr>
        <w:trPr>
          <w:trHeight w:val="203"/>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Repurchase agreement liabilities associated with these securities</w:t>
            </w:r>
          </w:p>
        </w:tc>
        <w:tc>
          <w:tcPr>
            <w:tcW w:w="106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81,215</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16,855</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19,111</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117,181</w:t>
            </w:r>
          </w:p>
        </w:tc>
      </w:tr>
      <w:tr>
        <w:trPr>
          <w:trHeight w:val="203"/>
        </w:trPr>
        <w:tc>
          <w:tcPr>
            <w:tcW w:w="4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weighted average borrowing rate</w:t>
            </w:r>
          </w:p>
        </w:tc>
        <w:tc>
          <w:tcPr>
            <w:tcW w:w="10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4.76</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r>
    </w:tbl>
    <w:p>
      <w:pPr>
        <w:spacing w:after="0" w:line="19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addition, cash pledged to counterparties as collateral for repurchase agreements was approximately $0.6 million as of December 31, 2025, and $0.6 million as of December 31, 2024.</w:t>
      </w:r>
    </w:p>
    <w:p>
      <w:pPr>
        <w:spacing w:after="0" w:line="162"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If, during the term of a repurchase agreement, a lender files for bankruptcy, the Company might experience difficulty recovering its pledged assets, which could result in an unsecured claim against the lender for the difference between the amount loaned to the Company plus interest due to the counterparty and the fair value of the collateral pledged to such lender, including the accrued interest receivable, and cash posted by the Company as collateral, if any. As of December 31, 2025 and 2024, the Company had an aggregate amount at risk (the difference between the amount loaned to the Company, including interest payable, and the fair value of securities and cash pledged (if any), including accrued interest on such securities) with all counterparties of approximately $4.2 million and $5.8 million, respectively. The Company did not have an amount at risk with any one counterparty exceeding 10% of stockholders' equity as of December 31, 2025. Summary information regarding amounts at risk with individual counterparties greater than 10% of the Company's stockholders' equity as of December 31, 2024 is presented in the table below.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44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2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4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12"/>
        </w:trPr>
        <w:tc>
          <w:tcPr>
            <w:tcW w:w="4460" w:type="dxa"/>
            <w:vAlign w:val="bottom"/>
          </w:tcPr>
          <w:p>
            <w:pPr>
              <w:spacing w:after="0"/>
              <w:rPr>
                <w:sz w:val="18"/>
                <w:szCs w:val="18"/>
                <w:color w:val="auto"/>
              </w:rPr>
            </w:pPr>
          </w:p>
        </w:tc>
        <w:tc>
          <w:tcPr>
            <w:tcW w:w="2920" w:type="dxa"/>
            <w:vAlign w:val="bottom"/>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40" w:type="dxa"/>
            <w:vAlign w:val="bottom"/>
          </w:tcPr>
          <w:p>
            <w:pPr>
              <w:spacing w:after="0"/>
              <w:rPr>
                <w:sz w:val="18"/>
                <w:szCs w:val="18"/>
                <w:color w:val="auto"/>
              </w:rPr>
            </w:pPr>
          </w:p>
        </w:tc>
        <w:tc>
          <w:tcPr>
            <w:tcW w:w="182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4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Maturity</w:t>
            </w:r>
          </w:p>
        </w:tc>
      </w:tr>
      <w:tr>
        <w:trPr>
          <w:trHeight w:val="219"/>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Repurchase Agreement Counterparty</w:t>
            </w:r>
          </w:p>
        </w:tc>
        <w:tc>
          <w:tcPr>
            <w:tcW w:w="2920" w:type="dxa"/>
            <w:vAlign w:val="bottom"/>
            <w:tcBorders>
              <w:bottom w:val="single" w:sz="8" w:color="auto"/>
            </w:tcBorders>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rPr>
              <w:t>at Risk</w:t>
            </w:r>
          </w:p>
        </w:tc>
        <w:tc>
          <w:tcPr>
            <w:tcW w:w="6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8"/>
              </w:rPr>
              <w:t>at Risk</w:t>
            </w:r>
          </w:p>
        </w:tc>
        <w:tc>
          <w:tcPr>
            <w:tcW w:w="14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(in Days)</w:t>
            </w:r>
          </w:p>
        </w:tc>
      </w:tr>
      <w:tr>
        <w:trPr>
          <w:trHeight w:val="199"/>
        </w:trPr>
        <w:tc>
          <w:tcPr>
            <w:tcW w:w="4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r>
      <w:tr>
        <w:trPr>
          <w:trHeight w:val="196"/>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South Street Securities, LLC</w:t>
            </w:r>
          </w:p>
        </w:tc>
        <w:tc>
          <w:tcPr>
            <w:tcW w:w="292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1,226</w:t>
            </w:r>
          </w:p>
        </w:tc>
        <w:tc>
          <w:tcPr>
            <w:tcW w:w="1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18.0%</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Marex Capital Markets Inc.</w:t>
            </w:r>
          </w:p>
        </w:tc>
        <w:tc>
          <w:tcPr>
            <w:tcW w:w="2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1,205</w:t>
            </w:r>
          </w:p>
        </w:tc>
        <w:tc>
          <w:tcPr>
            <w:tcW w:w="18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17.7%</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Mitsubishi UFJ Securities, Inc.</w:t>
            </w:r>
          </w:p>
        </w:tc>
        <w:tc>
          <w:tcPr>
            <w:tcW w:w="292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858</w:t>
            </w:r>
          </w:p>
        </w:tc>
        <w:tc>
          <w:tcPr>
            <w:tcW w:w="1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12.6%</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r>
      <w:tr>
        <w:trPr>
          <w:trHeight w:val="20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Mirae Asset Securities (USA) Inc.</w:t>
            </w:r>
          </w:p>
        </w:tc>
        <w:tc>
          <w:tcPr>
            <w:tcW w:w="2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842</w:t>
            </w:r>
          </w:p>
        </w:tc>
        <w:tc>
          <w:tcPr>
            <w:tcW w:w="18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12.3%</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w:t>
            </w:r>
          </w:p>
        </w:tc>
      </w:tr>
      <w:tr>
        <w:trPr>
          <w:trHeight w:val="20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DV Securities, LLC.</w:t>
            </w:r>
          </w:p>
        </w:tc>
        <w:tc>
          <w:tcPr>
            <w:tcW w:w="2920" w:type="dxa"/>
            <w:vAlign w:val="bottom"/>
          </w:tcPr>
          <w:p>
            <w:pPr>
              <w:spacing w:after="0"/>
              <w:rPr>
                <w:sz w:val="17"/>
                <w:szCs w:val="17"/>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834</w:t>
            </w:r>
          </w:p>
        </w:tc>
        <w:tc>
          <w:tcPr>
            <w:tcW w:w="1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12.2%</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r>
      <w:tr>
        <w:trPr>
          <w:trHeight w:val="203"/>
        </w:trPr>
        <w:tc>
          <w:tcPr>
            <w:tcW w:w="4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Clear Street LLC</w:t>
            </w:r>
          </w:p>
        </w:tc>
        <w:tc>
          <w:tcPr>
            <w:tcW w:w="2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794</w:t>
            </w:r>
          </w:p>
        </w:tc>
        <w:tc>
          <w:tcPr>
            <w:tcW w:w="18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11.6%</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PLEDGED ASSETS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Assets Pledged to Counterparties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Bimini’s assets pledged as collateral under its repurchase agreements and derivative agreements as of December 31, 2025 and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r>
      <w:tr>
        <w:trPr>
          <w:trHeight w:val="180"/>
        </w:trPr>
        <w:tc>
          <w:tcPr>
            <w:tcW w:w="3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139"/>
              <w:spacing w:after="0" w:line="181" w:lineRule="exact"/>
              <w:rPr>
                <w:sz w:val="20"/>
                <w:szCs w:val="20"/>
                <w:color w:val="auto"/>
              </w:rPr>
            </w:pPr>
            <w:r>
              <w:rPr>
                <w:rFonts w:ascii="Times New Roman" w:cs="Times New Roman" w:eastAsia="Times New Roman" w:hAnsi="Times New Roman"/>
                <w:sz w:val="16"/>
                <w:szCs w:val="16"/>
                <w:b w:val="1"/>
                <w:bCs w:val="1"/>
                <w:color w:val="auto"/>
              </w:rPr>
              <w:t>Repurchase</w:t>
            </w:r>
          </w:p>
        </w:tc>
        <w:tc>
          <w:tcPr>
            <w:tcW w:w="280" w:type="dxa"/>
            <w:vAlign w:val="bottom"/>
          </w:tcPr>
          <w:p>
            <w:pPr>
              <w:spacing w:after="0"/>
              <w:rPr>
                <w:sz w:val="15"/>
                <w:szCs w:val="15"/>
                <w:color w:val="auto"/>
              </w:rPr>
            </w:pPr>
          </w:p>
        </w:tc>
        <w:tc>
          <w:tcPr>
            <w:tcW w:w="1200" w:type="dxa"/>
            <w:vAlign w:val="bottom"/>
          </w:tcPr>
          <w:p>
            <w:pPr>
              <w:jc w:val="center"/>
              <w:ind w:right="199"/>
              <w:spacing w:after="0" w:line="181"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Repurchase</w:t>
            </w:r>
          </w:p>
        </w:tc>
        <w:tc>
          <w:tcPr>
            <w:tcW w:w="280" w:type="dxa"/>
            <w:vAlign w:val="bottom"/>
          </w:tcPr>
          <w:p>
            <w:pPr>
              <w:spacing w:after="0"/>
              <w:rPr>
                <w:sz w:val="15"/>
                <w:szCs w:val="15"/>
                <w:color w:val="auto"/>
              </w:rPr>
            </w:pPr>
          </w:p>
        </w:tc>
        <w:tc>
          <w:tcPr>
            <w:tcW w:w="1140" w:type="dxa"/>
            <w:vAlign w:val="bottom"/>
          </w:tcPr>
          <w:p>
            <w:pPr>
              <w:jc w:val="center"/>
              <w:ind w:right="179"/>
              <w:spacing w:after="0" w:line="181"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5"/>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Assets Pledged to Counterparties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PT MBS -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88,808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88,808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119,960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119,960</w:t>
            </w: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Structured MBS - at fair value</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28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2,133</w:t>
            </w:r>
          </w:p>
        </w:tc>
      </w:tr>
      <w:tr>
        <w:trPr>
          <w:trHeight w:val="20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 on pledged securities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599</w:t>
            </w:r>
          </w:p>
        </w:tc>
      </w:tr>
      <w:tr>
        <w:trPr>
          <w:trHeight w:val="203"/>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1,053</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1,122</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1,751</w:t>
            </w:r>
          </w:p>
        </w:tc>
      </w:tr>
      <w:tr>
        <w:trPr>
          <w:trHeight w:val="236"/>
        </w:trPr>
        <w:tc>
          <w:tcPr>
            <w:tcW w:w="3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89,789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1,053</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90,842</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123,321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1,122</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124,443</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Assets Pledged from Counterparties</w:t>
      </w:r>
    </w:p>
    <w:p>
      <w:pPr>
        <w:spacing w:after="0" w:line="229"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table below summarizes assets pledged to Bimini from counterparties under repurchase agreements as of December 31, 2025 and 2024. Cash received as margin is recognized in cash and cash equivalents with a corresponding amount recognized as an increase in repurchase agreements in the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Assets Pledged to Bimini</w:t>
            </w:r>
          </w:p>
        </w:tc>
        <w:tc>
          <w:tcPr>
            <w:tcW w:w="43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430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r>
      <w:tr>
        <w:trPr>
          <w:trHeight w:val="196"/>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430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OFFSETTING ASSETS AND LIABILITIES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Company’s repurchase agreements are subject to underlying agreements with master netting or similar arrangements, which provide for the right of offset in the event of default or in the event of bankruptcy of either party to the transactions. The Company reports its assets and liabilities subject to these arrangements on a gross basis. The following table presents information regarding those assets and liabilities subject to such arrangements as if the Company had presented them on a net basis as of December 31, 2025 and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Offsetting of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Net Amount</w:t>
            </w:r>
          </w:p>
        </w:tc>
        <w:tc>
          <w:tcPr>
            <w:tcW w:w="10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gridSpan w:val="3"/>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203"/>
        </w:trPr>
        <w:tc>
          <w:tcPr>
            <w:tcW w:w="2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of Liabilities</w:t>
            </w:r>
          </w:p>
        </w:tc>
        <w:tc>
          <w:tcPr>
            <w:tcW w:w="100" w:type="dxa"/>
            <w:vAlign w:val="bottom"/>
          </w:tcPr>
          <w:p>
            <w:pPr>
              <w:spacing w:after="0"/>
              <w:rPr>
                <w:sz w:val="17"/>
                <w:szCs w:val="17"/>
                <w:color w:val="auto"/>
              </w:rPr>
            </w:pPr>
          </w:p>
        </w:tc>
        <w:tc>
          <w:tcPr>
            <w:tcW w:w="2440" w:type="dxa"/>
            <w:vAlign w:val="bottom"/>
            <w:gridSpan w:val="3"/>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Not Offset in the</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Presented</w:t>
            </w:r>
          </w:p>
        </w:tc>
        <w:tc>
          <w:tcPr>
            <w:tcW w:w="100" w:type="dxa"/>
            <w:vAlign w:val="bottom"/>
          </w:tcPr>
          <w:p>
            <w:pPr>
              <w:spacing w:after="0"/>
              <w:rPr>
                <w:sz w:val="17"/>
                <w:szCs w:val="17"/>
                <w:color w:val="auto"/>
              </w:rPr>
            </w:pPr>
          </w:p>
        </w:tc>
        <w:tc>
          <w:tcPr>
            <w:tcW w:w="2440" w:type="dxa"/>
            <w:vAlign w:val="bottom"/>
            <w:gridSpan w:val="3"/>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Consolidated Balance Sheet</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8"/>
        </w:trPr>
        <w:tc>
          <w:tcPr>
            <w:tcW w:w="2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16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Offset in the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in the</w:t>
            </w:r>
          </w:p>
        </w:tc>
        <w:tc>
          <w:tcPr>
            <w:tcW w:w="1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0"/>
        </w:trPr>
        <w:tc>
          <w:tcPr>
            <w:tcW w:w="2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jc w:val="center"/>
              <w:ind w:right="159"/>
              <w:spacing w:after="0" w:line="181" w:lineRule="exact"/>
              <w:rPr>
                <w:sz w:val="20"/>
                <w:szCs w:val="20"/>
                <w:color w:val="auto"/>
              </w:rPr>
            </w:pPr>
            <w:r>
              <w:rPr>
                <w:rFonts w:ascii="Times New Roman" w:cs="Times New Roman" w:eastAsia="Times New Roman" w:hAnsi="Times New Roman"/>
                <w:sz w:val="16"/>
                <w:szCs w:val="16"/>
                <w:b w:val="1"/>
                <w:bCs w:val="1"/>
                <w:color w:val="auto"/>
              </w:rPr>
              <w:t>Amount of</w:t>
            </w:r>
          </w:p>
        </w:tc>
        <w:tc>
          <w:tcPr>
            <w:tcW w:w="1160" w:type="dxa"/>
            <w:vAlign w:val="bottom"/>
          </w:tcPr>
          <w:p>
            <w:pPr>
              <w:jc w:val="center"/>
              <w:ind w:left="119"/>
              <w:spacing w:after="0" w:line="181"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219"/>
              <w:spacing w:after="0" w:line="181"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5"/>
                <w:szCs w:val="15"/>
                <w:color w:val="auto"/>
              </w:rPr>
            </w:pPr>
          </w:p>
        </w:tc>
        <w:tc>
          <w:tcPr>
            <w:tcW w:w="1140" w:type="dxa"/>
            <w:vAlign w:val="bottom"/>
          </w:tcPr>
          <w:p>
            <w:pPr>
              <w:jc w:val="center"/>
              <w:ind w:right="159"/>
              <w:spacing w:after="0" w:line="181" w:lineRule="exact"/>
              <w:rPr>
                <w:sz w:val="20"/>
                <w:szCs w:val="20"/>
                <w:color w:val="auto"/>
              </w:rPr>
            </w:pPr>
            <w:r>
              <w:rPr>
                <w:rFonts w:ascii="Times New Roman" w:cs="Times New Roman" w:eastAsia="Times New Roman" w:hAnsi="Times New Roman"/>
                <w:sz w:val="16"/>
                <w:szCs w:val="16"/>
                <w:b w:val="1"/>
                <w:bCs w:val="1"/>
                <w:color w:val="auto"/>
              </w:rPr>
              <w:t>Instruments</w:t>
            </w:r>
          </w:p>
        </w:tc>
        <w:tc>
          <w:tcPr>
            <w:tcW w:w="220" w:type="dxa"/>
            <w:vAlign w:val="bottom"/>
          </w:tcPr>
          <w:p>
            <w:pPr>
              <w:spacing w:after="0"/>
              <w:rPr>
                <w:sz w:val="15"/>
                <w:szCs w:val="15"/>
                <w:color w:val="auto"/>
              </w:rPr>
            </w:pPr>
          </w:p>
        </w:tc>
        <w:tc>
          <w:tcPr>
            <w:tcW w:w="1080" w:type="dxa"/>
            <w:vAlign w:val="bottom"/>
          </w:tcPr>
          <w:p>
            <w:pPr>
              <w:jc w:val="center"/>
              <w:ind w:right="159"/>
              <w:spacing w:after="0" w:line="181" w:lineRule="exact"/>
              <w:rPr>
                <w:sz w:val="20"/>
                <w:szCs w:val="20"/>
                <w:color w:val="auto"/>
              </w:rPr>
            </w:pPr>
            <w:r>
              <w:rPr>
                <w:rFonts w:ascii="Times New Roman" w:cs="Times New Roman" w:eastAsia="Times New Roman" w:hAnsi="Times New Roman"/>
                <w:sz w:val="16"/>
                <w:szCs w:val="16"/>
                <w:b w:val="1"/>
                <w:bCs w:val="1"/>
                <w:color w:val="auto"/>
              </w:rPr>
              <w:t>Cash</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2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116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Posted as</w:t>
            </w:r>
          </w:p>
        </w:tc>
        <w:tc>
          <w:tcPr>
            <w:tcW w:w="220" w:type="dxa"/>
            <w:vAlign w:val="bottom"/>
          </w:tcPr>
          <w:p>
            <w:pPr>
              <w:spacing w:after="0"/>
              <w:rPr>
                <w:sz w:val="17"/>
                <w:szCs w:val="17"/>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Posted as</w:t>
            </w:r>
          </w:p>
        </w:tc>
        <w:tc>
          <w:tcPr>
            <w:tcW w:w="280" w:type="dxa"/>
            <w:vAlign w:val="bottom"/>
          </w:tcPr>
          <w:p>
            <w:pPr>
              <w:spacing w:after="0"/>
              <w:rPr>
                <w:sz w:val="17"/>
                <w:szCs w:val="17"/>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15"/>
        </w:trPr>
        <w:tc>
          <w:tcPr>
            <w:tcW w:w="2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16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6"/>
              </w:rPr>
              <w:t>Sheet</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Sheet</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9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Repurchase Agreements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85,326</w:t>
            </w:r>
          </w:p>
        </w:tc>
        <w:tc>
          <w:tcPr>
            <w:tcW w:w="11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85,326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(84,758)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24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85,326</w:t>
            </w:r>
          </w:p>
        </w:tc>
        <w:tc>
          <w:tcPr>
            <w:tcW w:w="11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85,326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(84,758)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2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Agreements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117,181</w:t>
            </w:r>
          </w:p>
        </w:tc>
        <w:tc>
          <w:tcPr>
            <w:tcW w:w="11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117,181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(116,552)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2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117,181</w:t>
            </w:r>
          </w:p>
        </w:tc>
        <w:tc>
          <w:tcPr>
            <w:tcW w:w="11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117,181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(116,552)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40" w:firstLine="324"/>
        <w:spacing w:after="0" w:line="289" w:lineRule="auto"/>
        <w:rPr>
          <w:sz w:val="20"/>
          <w:szCs w:val="20"/>
          <w:color w:val="auto"/>
        </w:rPr>
      </w:pPr>
      <w:r>
        <w:rPr>
          <w:rFonts w:ascii="Times New Roman" w:cs="Times New Roman" w:eastAsia="Times New Roman" w:hAnsi="Times New Roman"/>
          <w:sz w:val="17"/>
          <w:szCs w:val="17"/>
          <w:color w:val="auto"/>
        </w:rPr>
        <w:t>The amounts disclosed for collateral received by or posted to the same counterparty are limited to the amount sufficient to reduce the asset or liability presented in the consolidated balance sheet to zero. The fair value of the actual collateral received by or posted to the same counterparty typically exceeds the amounts presented. See Note 7 for a discussion of collateral posted for, or received against, repurchase obligations and derivative instruments.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as of December 31, 2025 and 2024 is summarized as follows: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00" w:type="dxa"/>
            <w:vAlign w:val="bottom"/>
            <w:tcBorders>
              <w:top w:val="single" w:sz="8" w:color="auto"/>
              <w:bottom w:val="single" w:sz="8" w:color="auto"/>
            </w:tcBorders>
          </w:tcPr>
          <w:p>
            <w:pPr>
              <w:spacing w:after="0"/>
              <w:rPr>
                <w:sz w:val="17"/>
                <w:szCs w:val="17"/>
                <w:color w:val="auto"/>
              </w:rPr>
            </w:pPr>
          </w:p>
        </w:tc>
        <w:tc>
          <w:tcPr>
            <w:tcW w:w="4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Junior subordinated debt</w:t>
            </w:r>
          </w:p>
        </w:tc>
        <w:tc>
          <w:tcPr>
            <w:tcW w:w="416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26,804</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26,804</w:t>
            </w:r>
          </w:p>
        </w:tc>
      </w:tr>
      <w:tr>
        <w:trPr>
          <w:trHeight w:val="203"/>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Note payable</w:t>
            </w:r>
          </w:p>
        </w:tc>
        <w:tc>
          <w:tcPr>
            <w:tcW w:w="4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543</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564</w:t>
            </w:r>
          </w:p>
        </w:tc>
      </w:tr>
      <w:tr>
        <w:trPr>
          <w:trHeight w:val="236"/>
        </w:trPr>
        <w:tc>
          <w:tcPr>
            <w:tcW w:w="4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416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27,347</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27,368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Junior Subordinated Debt</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During 2005, Bimini Capital sponsored the formation of a statutory trust, known as BCTII, 100% of the common equity of which is owned by Bimini Capital. It was formed for the purpose of issuing trust preferred capital securities to third-party investors and investing the proceeds from the sale of such capital securities solely in junior subordinated debt securities of Bimini Capital. The debt securities held by BCTII are the sole assets of BCTII.</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2025 and 2024, the outstanding principal balance on the junior subordinated debt securities owed to BCTII was $26.8 million. The interest rate for the junior subordinated debt is the CME Term SOFR on the applicable reset date plus the tenor spread adjustment of 0.26161% plus the coupon spread of 3.50%. As of December 31, 2025 and 2024, the interest rate was 7.48% and 8.12%, respectively. The BCTII trust preferred securities and Bimini Capital's BCTII Junior Subordinated Notes require quarterly interest distributions, are redeemable at Bimini Capital's option, in whole or in part and without penalty, and have a final maturity of December 15, 2035. Bimini Capital's BCTII Junior Subordinated Notes are subordinate and junior in right of payment to all present and future senior indebtedness.</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included consolidated financial statements present Bimini Capital's BCTII Junior Subordinated Notes issued to BCTII as a liability and Bimini Capital's investment in the common equity securities of BCTII as an asset (included in other assets). For financial statement purposes, Bimini Capital records payments of interest on the Junior Subordinated Notes issued to BCTII as interest expense.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Note Payable</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On October 30, 2019, the Company borrowed $680,000 from a bank. Through October 30, 2024, interest on the note accrued at 4.89%. Thereafter, interest accrues based on the weekly average yield to the United States Treasury securities adjusted to a constant maturity of 5 years, plus 3.25%. The interest rate reset to 7.37% on October 30, 2024 and will reset again on October 30, 2029. The note is secured by a mortgage on the Company’s office building and has a final maturity of October 30, 2039.</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future scheduled principal payments on the Company’s long-term debt.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Year Ending December 31,</w:t>
            </w:r>
          </w:p>
        </w:tc>
        <w:tc>
          <w:tcPr>
            <w:tcW w:w="4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19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42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422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r>
      <w:tr>
        <w:trPr>
          <w:trHeight w:val="20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4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422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4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r>
      <w:tr>
        <w:trPr>
          <w:trHeight w:val="203"/>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4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27,212</w:t>
            </w:r>
          </w:p>
        </w:tc>
      </w:tr>
      <w:tr>
        <w:trPr>
          <w:trHeight w:val="236"/>
        </w:trPr>
        <w:tc>
          <w:tcPr>
            <w:tcW w:w="5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42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27,347</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Company has the authority to issue is 110,000,000 shares, classified as 100,000,000 shares of common stock, and 10,000,000 shares of preferred stock. The Board of Directors has the authority to classify any unissued shares by setting or changing in any one or more respects the preferences, conversion or other rights, voting powers, restrictions, limitations as to dividends, qualifications or terms or conditions of redemption of such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color w:val="auto"/>
        </w:rPr>
        <w:t>Of the 100,000,000 authorized shares of common stock, 98,000,000 shares were designated as Class A common stock, 1,000,000 shares were designated as Class B common stock and 1,000,000 shares were designated as Class C common stock. Holders of shares of common stock have no sinking fund or redemption rights and have no pre-emptive rights to subscribe for any of the Company’s securities. All common shares have a $0.001 par value.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Each outstanding share of Class A common stock entitles the holder to one vote on all matters submitted to a vote of stockholders, including the election of directors. Holders of shares of Class A common stock are not entitled to cumulate their votes in the election of directors.</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Subject to the preferential rights of any other class or series of stock and to the provisions of the Company's charter, as amended, regarding the restrictions on transfer of stock, holders of shares of Class A common stock are entitled to receive dividends on such stock if, as and when authorized and declared by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Each outstanding share of Class B common stock entitles the holder to one vote on all matters submitted to a vote of common stockholders, including the election of directors. Holders of shares of Class B common stock are not entitled to cumulate their votes in the election of directors. Holders of shares of Class A common stock and Class B common stock shall vote together as one class in all matters except that any matters which would adversely affect the rights and preferences of Class B common stock as a separate class shall require a separate approval by holders of a majority of the outstanding shares of Class B common stock. Holders of shares of Class B common stock are entitled to receive dividends on each share of Class B common stock in an amount equal to the dividends declared on each share of Class A common stock if, as and when authorized and declared by the Board of Directors.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Each share of Class B common stock shall automatically be converted into one share of Class A common stock on the first day of the fiscal quarter following the fiscal quarter during which the Company's Board of Directors were notified that, as of the end of such fiscal quarter, the stockholders' equity attributable to the Class A common stock, calculated on a pro forma basis as if conversion of the Class B common stock (or portion thereof to be converted) had occurred, and otherwise determined in accordance with GAAP, equals no less than $150.00 per share (adjusted equitably for any stock splits, stock combinations, stock dividends or the like); provided, that the number of shares of Class B common stock to be converted into Class A common stock in any quarter shall not exceed an amount that will cause the stockholders' equity attributable to the Class A common stock calculated as set forth above to be less than $150.00 per share; provided further, that such conversions shall continue to occur until all shares of Class B common stock have been converted into shares of Class A common stock; and provided further, that the total number of shares of Class A common stock issuable upon conversion of the Class B common stock shall not exceed 3% of the total shares of common stock outstanding prior to completion of an initial public offering of Bimini Capital's Class A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No dividends will be paid on the Class C common stock. Holders of shares of Class C common stock are not entitled to vote on any matter submitted to a vote of stockholders, including the election of directors, except that any matters that would adversely affect the rights and privileges of the Class C common stock as a separate class shall require the approval of a majority of the Class C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share of Class C common stock shall automatically be converted into one share of Class A common stock on the first day of the fiscal quarter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fiscal quarter during which the Company's Board of Directors were notified that, as of the end of such fiscal quarter, the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the Class A common stock, calculated on a pro forma basis as if conversion of the Class C common stock had occurred and giving effect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conversion of all of the shares of Class B common stock as of such date, and otherwise determined in accordance with GAAP, equals no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 per share (adjusted equitably for any stock splits, stock combinations, stock dividends or the like); provided, that the number of shares of Class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to be converted into Class A common stock shall not exceed an amount that will cause the stockholders' equity attributable to the 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calculated as set forth above to be less than $150.00 per share; and provided further, that such conversions shall continue to occur until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Class C common stock have been converted into shares of Class A common stock and provided further, that the total number of shares of 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issuable upon conversion of the Class C common stock shall not exceed 3% of the total shares of common stock outstanding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of an initial public offering of Bimini Capital's Class A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There are 10,000,000 authorized shares of preferred stock, with a $0.001 par value per share. The Company's Board of Directors has the authority to classify any unissued shares of preferred stock and to reclassify any previously classified but unissued shares of any series of preferred stock previously authorized by the Board of Directors. Prior to issuance of shares of each class or series of preferred stock, the Board of Directors is required by the Company’s charter to fix the terms, preferences, conversion or other rights, voting powers, restrictions, limitations as to dividends or other distributions, qualifications and terms or conditions of redemption for each such class or series.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Classified and Designated Shares</w:t>
      </w:r>
    </w:p>
    <w:p>
      <w:pPr>
        <w:spacing w:after="0" w:line="227"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Pursuant to the Company’s supplementary amendment of its charter, effective November 3, 2005, and by resolutions adopted on September 29, 2005, the Company’s Board of Directors classified and designated 1,800,000 shares of the authorized but unissued preferred stock, $0.001 par value, as Class A Redeemable Preferred Stock and 2,000,000 shares of the authorized but unissued preferred stock as Class B Redeemable Preferred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Class A Redeemable Preferred Stock and Class B Redeemable Preferred Stock rank equal to each other and shall have the same preferences, rights, voting powers, restrictions, limitations as to dividends and other distributions, qualifications and terms; provided, however that the redemption provisions of the Class A Redeemable Preferred Stock and the Class B Redeemable Preferred Stock differ. Each outstanding share of Class A Redeemable Preferred Stock and Class B Redeemable Preferred Stock shall have one-fifth of a vote on all matters submitted to a vote of stockholders (or such lesser fraction of a vote as would be required to comply with the rules and regulations of the NYSE relating to the Company’s right to issue securities without obtaining a stockholder vote). Holders of shares of preferred stock shall vote together with holders of shares of common stock as one class in all matters that would be subject to a vote of stockholders.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previously outstanding shares of Class A Redeemable Preferred Stock were converted into Class A common stock on April 28, 2006. No shares of the Class B Redeemable Preferred Stock have ever been issued.</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2015 the Board approved Articles Supplementary to the Company’s charter reclassifying and designating 1,800,000 shares of authorized but unissued Class A Redeemable Preferred Stock and 2,000,000 shares of authorized but unissued Class B Redeemable Preferred Stock into undesignated preferred stock, par value $0.001 per share, of the Company (“Preferred Stock”). After giving effect to the reclassification and designation of the shares of Class A Preferred Stock and Class B Preferred Stock, the Company has authority to issue 10,000,000 shares of undesignated Preferred Stock and no shares of Class A Preferred Stock or Class B Preferred Stock. The Articles Supplementary were filed with the State Department of Assessments and Taxation of Maryland (the “SDAT”) and became effective upon filing on December 21, 2015.</w:t>
      </w:r>
    </w:p>
    <w:p>
      <w:pPr>
        <w:spacing w:after="0" w:line="187"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In 2015 the Board approved Articles Supplementary to the Company’s charter creating a new series of Preferred Stock designated as Series A Junior Preferred Stock, par value $0.001 per share, of the Company (the “Series A Preferred Stock”). The Articles Supplementary were filed with the SDAT and became effective upon filing on December 21,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Plan</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December 21, 2015 the Board adopted a rights agreement (the “Original Rights Plan”) and declared a distribution of one preferred stock purchase right (“Right”) for each outstanding share of the Company’s Class A common stock, Class B common stock, and Class C common stock. The distribution was payable to stockholders of record as of the close of business on December 21, 2015. On December 10, 2025, the Company adopted a First Amendment (the “First Amendment”) to the Original Rights Plan (the Original Rights Plan, as amended by the First Amendment, the “Rights Plan”). The First Amendment extends the expiration date of the Rights until December 21, 2030. The First Amendment also increases the Purchase Price (as defined in the Rights Plan) from $4.76 to $10.20. No stockholder approval is required for adoption of the First Amendment; however, the Company plans to submit the First Amendment to its stockholders for approval at the 2026 annual meeting of stockholders.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Rights</w:t>
      </w:r>
      <w:r>
        <w:rPr>
          <w:rFonts w:ascii="Times New Roman" w:cs="Times New Roman" w:eastAsia="Times New Roman" w:hAnsi="Times New Roman"/>
          <w:sz w:val="18"/>
          <w:szCs w:val="18"/>
          <w:color w:val="auto"/>
        </w:rPr>
        <w:t>. Subject to the terms, provisions and conditions of the Rights Plan, if the Rights become exercisable, each Right would initially represent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 to purchase from the Company one ten-thousandth of a share of Series A Preferred Stock for a purchase price of $10.20, subject to adjustment in accordance with the terms of the Rights Plan (the “Purchase Price”). If issued, each fractional share of Series A Preferred Stock would give the stockholder approximately the same distribution, voting and liquidation rights as does one share of the Company’s Class A common stock. However, prior to exercise, a Right does not give its holder any rights as a stockholder of the Company, including without limitation any distribution, voting or liquidation rights.</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Exercisability. </w:t>
      </w:r>
      <w:r>
        <w:rPr>
          <w:rFonts w:ascii="Times New Roman" w:cs="Times New Roman" w:eastAsia="Times New Roman" w:hAnsi="Times New Roman"/>
          <w:sz w:val="18"/>
          <w:szCs w:val="18"/>
          <w:color w:val="auto"/>
        </w:rPr>
        <w:t>The Rights will generally not be exercisable until the earlier of (i) 10 business days after a public announcement by the Company that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or group has acquired 4.9% or more of the outstanding Class A common stock without the approval of the Board of Directors (an “Acquiring Person”) and (ii) 10 business days after the commencement of a tender or exchange offer by a person or group for 4.9% or more of the Class A common stock.</w:t>
      </w:r>
    </w:p>
    <w:p>
      <w:pPr>
        <w:spacing w:after="0" w:line="18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date that the Rights may first become exercisable is referred to as the “Distribution Date.” Until the Distribution Date, the Class A common stock, Class B common stock and Class C common stock certificates will represent the Rights and will contain a notation to that effect. Any transfer of shares of Class A common stock, Class B common stock and/or Class C common stock prior to the Distribution Date will constitute a transfer of the associated Rights. After the Distribution Date, the Rights may be transferred other than in connection with the transfer of the underlying shares of Class A common stock, Class B common stock or Class C common stock.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After the Distribution Date and following a determination by the Board that a person is an Acquiring Person, each holder of a Right, other than Rights beneficially owned by the Acquiring Person (which will thereupon become void), will thereafter have the right to receive upon exercise of a Right and payment of the Purchase Price, that number of shares of Class A common stock, Class B common stock or Class C common stock, as the case may be, having a market value of two times the Purchase Price (or, at our option, shares of Series A Preferred Stock or other consideration as provided in the Rights Plan).</w:t>
      </w:r>
    </w:p>
    <w:p>
      <w:pPr>
        <w:spacing w:after="0" w:line="18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After the Distribution Date and following a determination by the Board that a person or group is an Acquiring Person, the Board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the Rights (other than Rights owned by such an Acquiring Person which will have become void), in whole or in part, at an exchange ratio of one share of Class A common stock, Class B common stock or Class C common stock, as the case may be, or a fractional share of Series A Preferred Stock (or of a share of a similar class or series of the Company’s preferred stock having similar Rights, preferences and privileges) of equivalent value, per Right (subject to adjustment).</w:t>
      </w:r>
    </w:p>
    <w:p>
      <w:pPr>
        <w:spacing w:after="0" w:line="18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Expiration</w:t>
      </w:r>
      <w:r>
        <w:rPr>
          <w:rFonts w:ascii="Times New Roman" w:cs="Times New Roman" w:eastAsia="Times New Roman" w:hAnsi="Times New Roman"/>
          <w:sz w:val="18"/>
          <w:szCs w:val="18"/>
          <w:color w:val="auto"/>
        </w:rPr>
        <w:t>. The Rights and the Rights Plan will expire on the earliest of (i) December 21, 2030, (ii) the time at which the Rights are redeemed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Rights Plan, (iii) the time at which the Rights are exchanged pursuant to the Rights Plan, (iv) the repeal of Section 382 of the Code or any successor statute if the Board determines that the Rights Plan is no longer necessary for the preservation of the applicable tax benefits, (v) the beginning of a taxable year of the Company to which the Board determines that no applicable tax benefits may be carried forward and (vi) the close of business on June 30, 2026 if approval of the Rights Plan by the Company’s stockholders has not been obtained.</w:t>
      </w:r>
    </w:p>
    <w:p>
      <w:pPr>
        <w:spacing w:after="0" w:line="18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Redemption. </w:t>
      </w:r>
      <w:r>
        <w:rPr>
          <w:rFonts w:ascii="Times New Roman" w:cs="Times New Roman" w:eastAsia="Times New Roman" w:hAnsi="Times New Roman"/>
          <w:sz w:val="18"/>
          <w:szCs w:val="18"/>
          <w:color w:val="auto"/>
        </w:rPr>
        <w:t>At any time prior to the time an Acquiring Person becomes such, the Board may redeem the Rights in whole, but not in part, at a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$0.001 per Right (the “Redemption Price”). The redemption of the Rights may be made effective at such time, on such basis and with such conditions as the Board in its sole discretion may establish. Immediately upon any redemption of the Rights, the right to exercise the Rights will terminate and the only right of the holders of Rights will be to receive the Redemption Price.</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Anti-Dilution Provisions. </w:t>
      </w:r>
      <w:r>
        <w:rPr>
          <w:rFonts w:ascii="Times New Roman" w:cs="Times New Roman" w:eastAsia="Times New Roman" w:hAnsi="Times New Roman"/>
          <w:sz w:val="18"/>
          <w:szCs w:val="18"/>
          <w:color w:val="auto"/>
        </w:rPr>
        <w:t>The Board may adjust the Purchase Price, the number of shares of Series A Preferred Stock or other securities issuable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outstanding Rights to prevent dilution that may occur as a result of certain events, including among others, a stock dividend, a forward or reverse stock split or a reclassification of the preferred shares or Class A common stock, Class B common stock or Class C common stock. No adjustments to the Purchase Price of less than 1% will be made.</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Anti-Takeover Effects. </w:t>
      </w:r>
      <w:r>
        <w:rPr>
          <w:rFonts w:ascii="Times New Roman" w:cs="Times New Roman" w:eastAsia="Times New Roman" w:hAnsi="Times New Roman"/>
          <w:sz w:val="18"/>
          <w:szCs w:val="18"/>
          <w:color w:val="auto"/>
        </w:rPr>
        <w:t>While this was not the purpose of the Board when adopting the Rights Plan, the Rights will have certain anti-takeover effects.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Rights will cause substantial dilution to any person or group that attempts to acquire the Company without the approval of the Board. As a result, the overall effect of the Rights may be to render more difficult or discourage any attempt to acquire the Company even if such acquisition may be favorable to the interests of the Company’s stockholders. Because the Board can redeem the Rights, the Rights should not interfere with a merger or other business combination approved by the Board.</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Amendments. </w:t>
      </w:r>
      <w:r>
        <w:rPr>
          <w:rFonts w:ascii="Times New Roman" w:cs="Times New Roman" w:eastAsia="Times New Roman" w:hAnsi="Times New Roman"/>
          <w:sz w:val="18"/>
          <w:szCs w:val="18"/>
          <w:color w:val="auto"/>
        </w:rPr>
        <w:t>Before the Distribution Date, the Board may amend or supplement the Rights Plan without the consent of the holders of the Rights.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Distribution Date, the Board may amend or supplement the Rights Plan only to cure an ambiguity, to alter time period provisions, to correct inconsistent provisions, or to make any additional changes to the Rights Plan, but only to the extent that those changes do not impair or adversely affect, in any material respect, any Rights holder and do not result in the Rights again becoming redeemable, and no such amendment may cause the Rights again to become redeemable or cause this Rights Plan again to become amendable other than in accordance with the applicable timing of the Rights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Plan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12, 2026, the Board authorized a share repurchase plan pursuant to Rule 10b5-1 of the Securities Exchange Act of 1934 (the</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“2026 Repurchase Plan”). Pursuant to the 2026 Repurchase Plan, the Company can purchase shares of its Class A Common Stock from time to time for an aggregate purchase price not to exceed $2.5 million. Share repurchases can be executed through various means, including, without limitation, open market transactions. The 2026 Repurchase Plan does not obligate the Company to purchase any shares. The 2026 Repurchase Plan replaces the Company’s prior repurchase plan adopted in 2024 (the “2024 Repurchase Plan”), which expired on March 9, 2026. The Company did not repurchase any shares under the 2024 Repurchase Plan.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time to time, the Company may become involved in various claims and legal actions arising in the ordinary course of business.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previously disclosed, in April 2020 and November 2021, the Company received demands for payment from Citigroup, Inc. related to the indemnification provisions of various mortgage loan purchase agreements entered into prior to 2007. As of December 31, 2024, no further information has been received related to this matter. The ultimate resolution of this matter cannot presently be determined. However, in management's opinion, the demands are without merit and the likelihood of a material adverse outcome is remote. Accordingly, no provision or accrual has been recorded.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Management is not aware of any other significant reported or unreported contingencies as of December 31, 2025.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income/(loss) before taxes for the years ended December 31, 2025 and 2024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3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6"/>
        </w:trPr>
        <w:tc>
          <w:tcPr>
            <w:tcW w:w="562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338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4,493</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1,810</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Foreign</w:t>
            </w:r>
          </w:p>
        </w:tc>
        <w:tc>
          <w:tcPr>
            <w:tcW w:w="3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before income tax (benefit) provision</w:t>
            </w:r>
          </w:p>
        </w:tc>
        <w:tc>
          <w:tcPr>
            <w:tcW w:w="338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4,493</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Income Tax Provision of Benefit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Company's income tax (benefit) provision are listed below:</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w:t>
            </w: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2,349</w:t>
            </w:r>
          </w:p>
        </w:tc>
      </w:tr>
      <w:tr>
        <w:trPr>
          <w:trHeight w:val="20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768</w:t>
            </w:r>
          </w:p>
        </w:tc>
      </w:tr>
      <w:tr>
        <w:trPr>
          <w:trHeight w:val="203"/>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deferred</w:t>
            </w:r>
          </w:p>
        </w:tc>
        <w:tc>
          <w:tcPr>
            <w:tcW w:w="8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3,117</w:t>
            </w:r>
          </w:p>
        </w:tc>
      </w:tr>
      <w:tr>
        <w:trPr>
          <w:trHeight w:val="236"/>
        </w:trPr>
        <w:tc>
          <w:tcPr>
            <w:tcW w:w="5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8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5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3,117</w:t>
            </w:r>
          </w:p>
        </w:tc>
      </w:tr>
      <w:tr>
        <w:trPr>
          <w:trHeight w:val="380"/>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Rate Reconciliation</w:t>
            </w: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25"/>
        </w:trPr>
        <w:tc>
          <w:tcPr>
            <w:tcW w:w="85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The effective income tax rate varies from the U.S. federal statutory rate principally due to the following: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2"/>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8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9"/>
        </w:trPr>
        <w:tc>
          <w:tcPr>
            <w:tcW w:w="5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tcBorders>
              <w:bottom w:val="single" w:sz="8" w:color="auto"/>
            </w:tcBorders>
          </w:tcPr>
          <w:p>
            <w:pPr>
              <w:spacing w:after="0"/>
              <w:rPr>
                <w:sz w:val="17"/>
                <w:szCs w:val="17"/>
                <w:color w:val="auto"/>
              </w:rPr>
            </w:pPr>
          </w:p>
        </w:tc>
      </w:tr>
      <w:tr>
        <w:trPr>
          <w:trHeight w:val="196"/>
        </w:trPr>
        <w:tc>
          <w:tcPr>
            <w:tcW w:w="5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9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 tax provision based on statutory rate applicable for each year</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943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380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03"/>
        </w:trPr>
        <w:tc>
          <w:tcPr>
            <w:tcW w:w="518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State income tax provision</w:t>
            </w:r>
            <w:r>
              <w:rPr>
                <w:rFonts w:ascii="Times New Roman" w:cs="Times New Roman" w:eastAsia="Times New Roman" w:hAnsi="Times New Roman"/>
                <w:sz w:val="23"/>
                <w:szCs w:val="23"/>
                <w:color w:val="auto"/>
                <w:vertAlign w:val="superscript"/>
              </w:rPr>
              <w:t>(1)</w:t>
            </w:r>
          </w:p>
        </w:tc>
        <w:tc>
          <w:tcPr>
            <w:tcW w:w="880" w:type="dxa"/>
            <w:vAlign w:val="bottom"/>
          </w:tcPr>
          <w:p>
            <w:pPr>
              <w:spacing w:after="0"/>
              <w:rPr>
                <w:sz w:val="17"/>
                <w:szCs w:val="17"/>
                <w:color w:val="auto"/>
              </w:rPr>
            </w:pP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186</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72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Nontaxable or nondeductible items:</w:t>
            </w: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Prospective change in MBS carrying value</w:t>
            </w:r>
          </w:p>
        </w:tc>
        <w:tc>
          <w:tcPr>
            <w:tcW w:w="880" w:type="dxa"/>
            <w:vAlign w:val="bottom"/>
          </w:tcPr>
          <w:p>
            <w:pPr>
              <w:spacing w:after="0"/>
              <w:rPr>
                <w:sz w:val="17"/>
                <w:szCs w:val="17"/>
                <w:color w:val="auto"/>
              </w:rPr>
            </w:pP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32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329</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0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IRC section 162(m), excess compensation</w:t>
            </w: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792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740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03"/>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Changes in valuation allowance:</w:t>
            </w: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increase of deferred tax asset valuation allowance</w:t>
            </w: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(3,711)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1,286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r>
      <w:tr>
        <w:trPr>
          <w:trHeight w:val="203"/>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adjustments:</w:t>
            </w: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loss adjustment</w:t>
            </w: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217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0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Expiration of capital loss carryover</w:t>
            </w:r>
          </w:p>
        </w:tc>
        <w:tc>
          <w:tcPr>
            <w:tcW w:w="880" w:type="dxa"/>
            <w:vAlign w:val="bottom"/>
          </w:tcPr>
          <w:p>
            <w:pPr>
              <w:spacing w:after="0"/>
              <w:rPr>
                <w:sz w:val="17"/>
                <w:szCs w:val="17"/>
                <w:color w:val="auto"/>
              </w:rPr>
            </w:pP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481</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60" w:type="dxa"/>
            <w:vAlign w:val="bottom"/>
          </w:tcPr>
          <w:p>
            <w:pPr>
              <w:spacing w:after="0"/>
              <w:rPr>
                <w:sz w:val="17"/>
                <w:szCs w:val="17"/>
                <w:color w:val="auto"/>
              </w:rPr>
            </w:pPr>
          </w:p>
        </w:tc>
        <w:tc>
          <w:tcPr>
            <w:tcW w:w="132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115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03"/>
        </w:trPr>
        <w:tc>
          <w:tcPr>
            <w:tcW w:w="5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196"/>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(1,309)</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3,117</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State taxes in Florida make up the entirety of the tax effect in this category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components of the deferred tax assets and liabilities reflected in the Consolidated Balance Sheets at December 31, 2025 and 2024 include the following: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20" w:type="dxa"/>
            <w:vAlign w:val="bottom"/>
            <w:tcBorders>
              <w:top w:val="single" w:sz="8" w:color="auto"/>
              <w:bottom w:val="single" w:sz="8" w:color="auto"/>
            </w:tcBorders>
          </w:tcPr>
          <w:p>
            <w:pPr>
              <w:spacing w:after="0"/>
              <w:rPr>
                <w:sz w:val="17"/>
                <w:szCs w:val="17"/>
                <w:color w:val="auto"/>
              </w:rPr>
            </w:pPr>
          </w:p>
        </w:tc>
        <w:tc>
          <w:tcPr>
            <w:tcW w:w="3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3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5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42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52,504</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54,575</w:t>
            </w:r>
          </w:p>
        </w:tc>
      </w:tr>
      <w:tr>
        <w:trPr>
          <w:trHeight w:val="203"/>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Orchid Island Capital, Inc. common stock</w:t>
            </w:r>
          </w:p>
        </w:tc>
        <w:tc>
          <w:tcPr>
            <w:tcW w:w="34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4,785</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4,711</w:t>
            </w:r>
          </w:p>
        </w:tc>
      </w:tr>
      <w:tr>
        <w:trPr>
          <w:trHeight w:val="203"/>
        </w:trPr>
        <w:tc>
          <w:tcPr>
            <w:tcW w:w="5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MBS unrealized losses and gains, net</w:t>
            </w:r>
          </w:p>
        </w:tc>
        <w:tc>
          <w:tcPr>
            <w:tcW w:w="342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446</w:t>
            </w:r>
          </w:p>
        </w:tc>
      </w:tr>
      <w:tr>
        <w:trPr>
          <w:trHeight w:val="203"/>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loss carryforwards</w:t>
            </w:r>
          </w:p>
        </w:tc>
        <w:tc>
          <w:tcPr>
            <w:tcW w:w="34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1,377</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1,796</w:t>
            </w:r>
          </w:p>
        </w:tc>
      </w:tr>
      <w:tr>
        <w:trPr>
          <w:trHeight w:val="203"/>
        </w:trPr>
        <w:tc>
          <w:tcPr>
            <w:tcW w:w="5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Management agreement</w:t>
            </w:r>
          </w:p>
        </w:tc>
        <w:tc>
          <w:tcPr>
            <w:tcW w:w="342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813</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813</w:t>
            </w:r>
          </w:p>
        </w:tc>
      </w:tr>
      <w:tr>
        <w:trPr>
          <w:trHeight w:val="203"/>
        </w:trPr>
        <w:tc>
          <w:tcPr>
            <w:tcW w:w="55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4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294</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w:t>
            </w:r>
          </w:p>
        </w:tc>
      </w:tr>
      <w:tr>
        <w:trPr>
          <w:trHeight w:val="19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Gross deferred tax assets</w:t>
            </w:r>
          </w:p>
        </w:tc>
        <w:tc>
          <w:tcPr>
            <w:tcW w:w="342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59,773</w:t>
            </w:r>
          </w:p>
        </w:tc>
        <w:tc>
          <w:tcPr>
            <w:tcW w:w="4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62,488</w:t>
            </w:r>
          </w:p>
        </w:tc>
      </w:tr>
      <w:tr>
        <w:trPr>
          <w:trHeight w:val="203"/>
        </w:trPr>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34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(42,200)</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(45,911)</w:t>
            </w:r>
          </w:p>
        </w:tc>
      </w:tr>
      <w:tr>
        <w:trPr>
          <w:trHeight w:val="196"/>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Deferred tax assets, net of valuation allowance</w:t>
            </w:r>
          </w:p>
        </w:tc>
        <w:tc>
          <w:tcPr>
            <w:tcW w:w="3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17,573</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16,577</w:t>
            </w:r>
          </w:p>
        </w:tc>
      </w:tr>
      <w:tr>
        <w:trPr>
          <w:trHeight w:val="196"/>
        </w:trPr>
        <w:tc>
          <w:tcPr>
            <w:tcW w:w="55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3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MBS unrealized losses and gains, net</w:t>
            </w:r>
          </w:p>
        </w:tc>
        <w:tc>
          <w:tcPr>
            <w:tcW w:w="34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Tax hedging arrangements</w:t>
            </w:r>
          </w:p>
        </w:tc>
        <w:tc>
          <w:tcPr>
            <w:tcW w:w="3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w:t>
            </w:r>
          </w:p>
        </w:tc>
      </w:tr>
      <w:tr>
        <w:trPr>
          <w:trHeight w:val="196"/>
        </w:trPr>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deferred tax liabilities</w:t>
            </w:r>
          </w:p>
        </w:tc>
        <w:tc>
          <w:tcPr>
            <w:tcW w:w="34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r>
      <w:tr>
        <w:trPr>
          <w:trHeight w:val="196"/>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342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17,240</w:t>
            </w:r>
          </w:p>
        </w:tc>
        <w:tc>
          <w:tcPr>
            <w:tcW w:w="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15,931</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both positive and negative evidence whether it is more likely than not that some portion or all of the deferred tax assets will not be realized. The ultimate realization of capital loss and NOL carryforwards is dependent upon the generation of future capital gains and taxable income in periods prior to their expiration. As of December 31, 2025, the valuation allowance recognized against the deferred tax asset is based on management’s estimated projections of future taxable income, and the projected ability to utilize the NOL carryforwards to offset that projected taxable income before the net operating loss carryforwards ("NOLs") expire. Utilization of the NOLs is based on these estimates and the assumptions that management will be able to reinvest retained earnings in order to grow the MBS portfolio going forward and that market value will not be eroded due to adverse market conditions or hedging inefficiencies. With respect to the taxable income projections, management estimates the dividends expected to be received on its Orchid share holdings as well as the management fees and overhead sharing payments it will receive from Orchid. With respect to the MBS portfolio, management makes estimates of various metrics such as the yields on the assets it plans to acquire, its future funding and interest costs, future prepayment speeds and net interest margin, among others. Estimates were also made for other assets and expenses. Changes in the taxable income projections have a direct impact on the amount of the valuation allowance, and the impact in any reporting period may be significant. These estimates and assumptions may change from year to year to the extent Orchid’s book value changes, thus changing projected management fees and overhead sharing payments, and/or market conditions, including changes in interest rates, such that estimates with respect to the portfolio metrics warrant revisions.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Carryforwards</w:t>
      </w:r>
    </w:p>
    <w:p>
      <w:pPr>
        <w:spacing w:after="0" w:line="229" w:lineRule="exact"/>
        <w:rPr>
          <w:sz w:val="20"/>
          <w:szCs w:val="20"/>
          <w:color w:val="auto"/>
        </w:rPr>
      </w:pPr>
    </w:p>
    <w:p>
      <w:pPr>
        <w:ind w:left="160" w:right="340"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net operating loss carryforwards and capital loss carryforwards, related deferred tax assets and any corresponding valuation allowances as of December 31, 2025 and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6"/>
        </w:trPr>
        <w:tc>
          <w:tcPr>
            <w:tcW w:w="59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Federal:</w:t>
            </w:r>
          </w:p>
        </w:tc>
        <w:tc>
          <w:tcPr>
            <w:tcW w:w="2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operating loss carryforwards (expires beginning 2026)</w:t>
            </w:r>
          </w:p>
        </w:tc>
        <w:tc>
          <w:tcPr>
            <w:tcW w:w="2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245,762</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253,933</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Related deferred tax asset</w:t>
            </w:r>
          </w:p>
        </w:tc>
        <w:tc>
          <w:tcPr>
            <w:tcW w:w="29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51,610</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53,326</w:t>
            </w: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Valuation allowance</w:t>
            </w:r>
          </w:p>
        </w:tc>
        <w:tc>
          <w:tcPr>
            <w:tcW w:w="29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(40,823)</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(44,537)</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State:</w:t>
            </w:r>
          </w:p>
        </w:tc>
        <w:tc>
          <w:tcPr>
            <w:tcW w:w="2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operating loss carryforwards (expires beginning 2028)</w:t>
            </w:r>
          </w:p>
        </w:tc>
        <w:tc>
          <w:tcPr>
            <w:tcW w:w="2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20,564</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28,735</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Related deferred tax asset</w:t>
            </w:r>
          </w:p>
        </w:tc>
        <w:tc>
          <w:tcPr>
            <w:tcW w:w="29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894</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1,249</w:t>
            </w:r>
          </w:p>
        </w:tc>
        <w:tc>
          <w:tcPr>
            <w:tcW w:w="0" w:type="dxa"/>
            <w:vAlign w:val="bottom"/>
          </w:tcPr>
          <w:p>
            <w:pPr>
              <w:spacing w:after="0"/>
              <w:rPr>
                <w:sz w:val="1"/>
                <w:szCs w:val="1"/>
                <w:color w:val="auto"/>
              </w:rPr>
            </w:pPr>
          </w:p>
        </w:tc>
      </w:tr>
      <w:tr>
        <w:trPr>
          <w:trHeight w:val="203"/>
        </w:trPr>
        <w:tc>
          <w:tcPr>
            <w:tcW w:w="5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Valuation allowance</w:t>
            </w:r>
          </w:p>
        </w:tc>
        <w:tc>
          <w:tcPr>
            <w:tcW w:w="29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Paid</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years ended December 31, 2025 and 2024, the Company did not have any income taxes paid (or refunds received).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not identified any unrecognized tax benefits that would result in liabilities in its consolidated financial statements. The Company has not had any settlements in the current period with taxing authorities and is not currently under audit. Additionally, no tax benefits have been recognized in the consolidated financial statements as a result of a lapse of the applicable statute of limitations.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EARNINGS PER SHARE</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Shares of Class B common stock, participating and convertible into Class A common stock, are entitled to receive dividends in an amount equal to the dividends declared on each share of Class A common stock if, and when, authorized and declared by the Board of Directors. The Class B common stock is included in the computation of basic EPS using the two-class method, and consequently is presented separately from Class A common stock. Shares of Class B common stock are not included in the computation of diluted Class A EPS as the conditions for conversion to Class A common stock were not met as of December 31, 2025 and 2024.</w:t>
      </w:r>
    </w:p>
    <w:p>
      <w:pPr>
        <w:spacing w:after="0" w:line="183"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Shares of Class C common stock are not included in the basic EPS computation as these shares do not have participation rights. Shares of Class C common stock are not included in the computation of diluted Class A EPS as the conditions for conversion to Class A common stock were not met as of December 31, 2025 and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reconciles the numerators and denominators of the basic and diluted EPS.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 except per-share information)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160" w:type="dxa"/>
            <w:vAlign w:val="bottom"/>
            <w:tcBorders>
              <w:top w:val="single" w:sz="8" w:color="auto"/>
              <w:bottom w:val="single" w:sz="8" w:color="auto"/>
            </w:tcBorders>
          </w:tcPr>
          <w:p>
            <w:pPr>
              <w:spacing w:after="0"/>
              <w:rPr>
                <w:sz w:val="17"/>
                <w:szCs w:val="17"/>
                <w:color w:val="auto"/>
              </w:rPr>
            </w:pPr>
          </w:p>
        </w:tc>
        <w:tc>
          <w:tcPr>
            <w:tcW w:w="2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and diluted EPS per Class A common share:</w:t>
            </w:r>
          </w:p>
        </w:tc>
        <w:tc>
          <w:tcPr>
            <w:tcW w:w="2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Income (Loss) attributable to Class A common shares:</w:t>
            </w:r>
          </w:p>
        </w:tc>
        <w:tc>
          <w:tcPr>
            <w:tcW w:w="2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and diluted</w:t>
            </w:r>
          </w:p>
        </w:tc>
        <w:tc>
          <w:tcPr>
            <w:tcW w:w="28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5,783</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w:t>
            </w:r>
          </w:p>
        </w:tc>
        <w:tc>
          <w:tcPr>
            <w:tcW w:w="2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Class A common shares outstanding at the balance sheet date</w:t>
            </w:r>
          </w:p>
        </w:tc>
        <w:tc>
          <w:tcPr>
            <w:tcW w:w="28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10,005</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10,005</w:t>
            </w:r>
          </w:p>
        </w:tc>
      </w:tr>
      <w:tr>
        <w:trPr>
          <w:trHeight w:val="202"/>
        </w:trPr>
        <w:tc>
          <w:tcPr>
            <w:tcW w:w="6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Effect of weighting</w:t>
            </w:r>
          </w:p>
        </w:tc>
        <w:tc>
          <w:tcPr>
            <w:tcW w:w="28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6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shares-basic and diluted</w:t>
            </w:r>
          </w:p>
        </w:tc>
        <w:tc>
          <w:tcPr>
            <w:tcW w:w="28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10,005</w:t>
            </w:r>
          </w:p>
        </w:tc>
        <w:tc>
          <w:tcPr>
            <w:tcW w:w="4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10,005</w:t>
            </w:r>
          </w:p>
        </w:tc>
      </w:tr>
      <w:tr>
        <w:trPr>
          <w:trHeight w:val="18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Income (Loss) per Class A common share:</w:t>
            </w:r>
          </w:p>
        </w:tc>
        <w:tc>
          <w:tcPr>
            <w:tcW w:w="2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and diluted</w:t>
            </w:r>
          </w:p>
        </w:tc>
        <w:tc>
          <w:tcPr>
            <w:tcW w:w="28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0.58</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415"/>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per-share information)</w:t>
            </w:r>
          </w:p>
        </w:tc>
        <w:tc>
          <w:tcPr>
            <w:tcW w:w="2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9"/>
        </w:trPr>
        <w:tc>
          <w:tcPr>
            <w:tcW w:w="61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and diluted EPS per Class B common share:</w:t>
            </w:r>
          </w:p>
        </w:tc>
        <w:tc>
          <w:tcPr>
            <w:tcW w:w="2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Income (Loss) attributable to Class B common shares:</w:t>
            </w:r>
          </w:p>
        </w:tc>
        <w:tc>
          <w:tcPr>
            <w:tcW w:w="2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and diluted</w:t>
            </w:r>
          </w:p>
        </w:tc>
        <w:tc>
          <w:tcPr>
            <w:tcW w:w="28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w:t>
            </w:r>
          </w:p>
        </w:tc>
        <w:tc>
          <w:tcPr>
            <w:tcW w:w="2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Class B common shares outstanding at the balance sheet date</w:t>
            </w:r>
          </w:p>
        </w:tc>
        <w:tc>
          <w:tcPr>
            <w:tcW w:w="28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r>
      <w:tr>
        <w:trPr>
          <w:trHeight w:val="203"/>
        </w:trPr>
        <w:tc>
          <w:tcPr>
            <w:tcW w:w="6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Effect of weighting</w:t>
            </w:r>
          </w:p>
        </w:tc>
        <w:tc>
          <w:tcPr>
            <w:tcW w:w="28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6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shares-basic and diluted</w:t>
            </w:r>
          </w:p>
        </w:tc>
        <w:tc>
          <w:tcPr>
            <w:tcW w:w="28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4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r>
      <w:tr>
        <w:trPr>
          <w:trHeight w:val="18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Income (Loss) per Class B common share:</w:t>
            </w:r>
          </w:p>
        </w:tc>
        <w:tc>
          <w:tcPr>
            <w:tcW w:w="2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and diluted</w:t>
            </w:r>
          </w:p>
        </w:tc>
        <w:tc>
          <w:tcPr>
            <w:tcW w:w="28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0.58</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(an exit price). A fair value measure should reflect the assumptions that market participants would use in pricing the asset or liability, including the assumptions about the risk inherent in a particular valuation technique, the effect of a restriction on the sale or use of an asset and the risk of non-performance. Required disclosures include presentation of balance sheet amounts measured at fair value based on inputs the Company uses to derive fair value measurements. These inputs are: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260" w:right="560" w:hanging="158"/>
        <w:spacing w:after="0" w:line="261" w:lineRule="auto"/>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valuations, where the valuation is based on quoted market prices for identical assets or liabilities traded in active markets (which include exchanges and over-the-counter markets with sufficient volume),</w:t>
      </w:r>
    </w:p>
    <w:p>
      <w:pPr>
        <w:ind w:left="280" w:right="100" w:hanging="164"/>
        <w:spacing w:after="0" w:line="250" w:lineRule="auto"/>
        <w:tabs>
          <w:tab w:leader="none" w:pos="2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valuations, where the valuation is based on quoted market prices for similar instruments traded in active markets, quoted prices for identical or similar instruments in markets that are not active and model-based valuation techniques for which all significant assumptions are observable in the market, and</w:t>
      </w:r>
    </w:p>
    <w:p>
      <w:pPr>
        <w:spacing w:after="0" w:line="1" w:lineRule="exact"/>
        <w:rPr>
          <w:rFonts w:ascii="Times New Roman" w:cs="Times New Roman" w:eastAsia="Times New Roman" w:hAnsi="Times New Roman"/>
          <w:sz w:val="18"/>
          <w:szCs w:val="18"/>
          <w:color w:val="auto"/>
        </w:rPr>
      </w:pPr>
    </w:p>
    <w:p>
      <w:pPr>
        <w:ind w:left="280" w:right="160" w:hanging="164"/>
        <w:spacing w:after="0" w:line="273" w:lineRule="auto"/>
        <w:tabs>
          <w:tab w:leader="none" w:pos="28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valuations, where the valuation is generated from model-based techniques that use significant assumptions not observable in the market, but observable based on Company-specific data. These unobservable assumptions reflect the Company’s own estimates for assumptions that market participants would use in pricing the asset or liability. Valuation techniques typically include option pricing models, discounted cash flow models and similar techniques, but may also include the use of market prices of assets or liabilities that are not directly comparable to the subject asset or liability.</w:t>
      </w:r>
    </w:p>
    <w:p>
      <w:pPr>
        <w:spacing w:after="0" w:line="17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Company's MBS and Orchid common stock are recorded at fair value on a recurring basis as of December 31, 2025 and 2024. When determining fair value measurements, the Company considers the principal or most advantageous market in which it would transact and considers assumptions that market participants would use when pricing the asset. When possible, the Company looks to active and observable markets to price identical assets. When identical assets are not traded in active markets, the Company looks to market observable data for similar assets.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Company's MBS are valued using Level 2 valuations, and such valuations currently are determined by the Company based on independent pricing sources and/or third party broker quotes. Because the price estimates may vary, the Company must make certain judgments and assumptions about the appropriate price to use to calculate the fair values. The Company and the independent pricing sources use various valuation techniques to determine the price of the Company’s securities. These techniques include observing the most recent market for like or identical assets (including security coupon, maturity, yield, and prepayment speeds), spread pricing techniques to determine market credit spreads (option adjusted spread, zero volatility spread, spread to the U.S. Treasury curve or spread to a benchmark such as a TBA security), and model driven approaches (the discounted cash flow method, Black Scholes and SABR models which rely upon observable market rates such as the term structure of interest rates and volatility). The appropriate spread pricing method used is based on market convention. The pricing source determines the spread of recently observed trade activity or observable markets for assets similar to those being priced. The spread is then adjusted based on variances in certain characteristics between the market observation and the asset being priced. Those characteristics include: type of asset, the expected life of the asset, the stability and predictability of the expected future cash flows of the asset, whether the coupon of the asset is fixed or adjustable, the guarantor of the security if applicable, the coupon, the maturity, the issuer, size of the underlying loans, year in which the underlying loans were originated, loan to value ratio, state in which the underlying loans reside, credit score of the underlying borrowers and other variables if appropriate. The fair value of the security is determined by using the adjusted spread.</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Company’s futures contracts are Level 1 valuations, as they are exchange-traded instruments and quoted market prices are readily available. Futures contracts are settled daily. Retained interests have a recorded fair value of zero as of December 31, 2025 and 2024, as the prospect of future cash flows is uncertain based on a Level 3 valuation analysis. Any cash received from the retained interests is reflected as a gain in the consolidated statements of operations.</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estimated fair value of cash and cash equivalents, restricted cash, accrued interest receivable, other assets, due from affiliates, repurchase agreements, accrued interest payable and other liabilities generally approximates their carrying values due to the short-term nature of these financial instruments. The Company estimates the fair value of the cash and cash equivalents and restricted cash using Level 1 inputs, and the accrued interest receivable, other assets, due from affiliates, repurchase agreements, accrued interest payable and other liabilities using Level 2 inputs. The fair value of the Company’s junior subordinated debt approximates its carrying value. The carrying value is a reasonable estimate of fair value since the instrument carries a floating rate that resets frequently. Further information regarding this instrument is presented in Note 9.</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financial assets and liabilities measured at fair value on a recurring basis as of December 31, 2025 and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Quoted Prices</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r>
      <w:tr>
        <w:trPr>
          <w:trHeight w:val="203"/>
        </w:trPr>
        <w:tc>
          <w:tcPr>
            <w:tcW w:w="4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in Active</w:t>
            </w:r>
          </w:p>
        </w:tc>
        <w:tc>
          <w:tcPr>
            <w:tcW w:w="220" w:type="dxa"/>
            <w:vAlign w:val="bottom"/>
          </w:tcPr>
          <w:p>
            <w:pPr>
              <w:spacing w:after="0"/>
              <w:rPr>
                <w:sz w:val="17"/>
                <w:szCs w:val="17"/>
                <w:color w:val="auto"/>
              </w:rPr>
            </w:pPr>
          </w:p>
        </w:tc>
        <w:tc>
          <w:tcPr>
            <w:tcW w:w="11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220" w:type="dxa"/>
            <w:vAlign w:val="bottom"/>
          </w:tcPr>
          <w:p>
            <w:pPr>
              <w:spacing w:after="0"/>
              <w:rPr>
                <w:sz w:val="17"/>
                <w:szCs w:val="17"/>
                <w:color w:val="auto"/>
              </w:rPr>
            </w:pPr>
          </w:p>
        </w:tc>
        <w:tc>
          <w:tcPr>
            <w:tcW w:w="11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1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80" w:type="dxa"/>
            <w:vAlign w:val="bottom"/>
          </w:tcPr>
          <w:p>
            <w:pPr>
              <w:spacing w:after="0"/>
              <w:rPr>
                <w:sz w:val="17"/>
                <w:szCs w:val="17"/>
                <w:color w:val="auto"/>
              </w:rPr>
            </w:pPr>
          </w:p>
        </w:tc>
      </w:tr>
      <w:tr>
        <w:trPr>
          <w:trHeight w:val="202"/>
        </w:trPr>
        <w:tc>
          <w:tcPr>
            <w:tcW w:w="4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Identical</w:t>
            </w:r>
          </w:p>
        </w:tc>
        <w:tc>
          <w:tcPr>
            <w:tcW w:w="220" w:type="dxa"/>
            <w:vAlign w:val="bottom"/>
          </w:tcPr>
          <w:p>
            <w:pPr>
              <w:spacing w:after="0"/>
              <w:rPr>
                <w:sz w:val="17"/>
                <w:szCs w:val="17"/>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1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180" w:type="dxa"/>
            <w:vAlign w:val="bottom"/>
          </w:tcPr>
          <w:p>
            <w:pPr>
              <w:spacing w:after="0"/>
              <w:rPr>
                <w:sz w:val="17"/>
                <w:szCs w:val="17"/>
                <w:color w:val="auto"/>
              </w:rPr>
            </w:pPr>
          </w:p>
        </w:tc>
      </w:tr>
      <w:tr>
        <w:trPr>
          <w:trHeight w:val="203"/>
        </w:trPr>
        <w:tc>
          <w:tcPr>
            <w:tcW w:w="4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7"/>
                <w:szCs w:val="17"/>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1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80" w:type="dxa"/>
            <w:vAlign w:val="bottom"/>
          </w:tcPr>
          <w:p>
            <w:pPr>
              <w:spacing w:after="0"/>
              <w:rPr>
                <w:sz w:val="17"/>
                <w:szCs w:val="17"/>
                <w:color w:val="auto"/>
              </w:rPr>
            </w:pPr>
          </w:p>
        </w:tc>
      </w:tr>
      <w:tr>
        <w:trPr>
          <w:trHeight w:val="215"/>
        </w:trPr>
        <w:tc>
          <w:tcPr>
            <w:tcW w:w="43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Measurements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14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80" w:type="dxa"/>
            <w:vAlign w:val="bottom"/>
            <w:tcBorders>
              <w:bottom w:val="single" w:sz="8" w:color="auto"/>
            </w:tcBorders>
          </w:tcPr>
          <w:p>
            <w:pPr>
              <w:spacing w:after="0"/>
              <w:rPr>
                <w:sz w:val="18"/>
                <w:szCs w:val="18"/>
                <w:color w:val="auto"/>
              </w:rPr>
            </w:pPr>
          </w:p>
        </w:tc>
      </w:tr>
      <w:tr>
        <w:trPr>
          <w:trHeight w:val="199"/>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19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88,929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88,929</w:t>
            </w:r>
          </w:p>
        </w:tc>
        <w:tc>
          <w:tcPr>
            <w:tcW w:w="114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Orchid Island Capital, Inc. common stock</w:t>
            </w:r>
          </w:p>
        </w:tc>
        <w:tc>
          <w:tcPr>
            <w:tcW w:w="1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4,097</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4,097</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7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r>
      <w:tr>
        <w:trPr>
          <w:trHeight w:val="196"/>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122,348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122,348</w:t>
            </w:r>
          </w:p>
        </w:tc>
        <w:tc>
          <w:tcPr>
            <w:tcW w:w="114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Orchid Island Capital, Inc. common stock</w:t>
            </w:r>
          </w:p>
        </w:tc>
        <w:tc>
          <w:tcPr>
            <w:tcW w:w="17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4,427</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4,427</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years ended December 31, 2025 and 2024, there were no transfers of financial assets or liabilities between Levels 1, 2 or 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INFORMATION</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Company’s business is organized into the asset management and the investment portfolio segments, with each representing a reportable segment. Our CODM is our Chief Executive Officer. The results of each segment are regularly reviewed by the CODM to assess the performance of the segment and make decisions regarding the allocation of resources to the segments. The primary measure of segment performance used by the CODM is income before federal income taxes. Net revenues is also used to assess the financial performance of the segments and for purposes of allocating resources. The accounting policies of our two reportable business segments are the same as those described in Note 1.</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asset management segment includes the investment advisory services provided by Bimini Advisors to Orchid and Royal Palm. As discussed in Note 2, the revenues of the asset management segment consist of management fees, overhead reimbursements and repurchase, clearing and administrative fees received pursuant to a management agreement with Orchid. Total revenues received under this management agreement for the years ended December 31, 2025 and 2024, were approximately $16.6 million and $12.8 million, respectively, accounting for approximately 70% and 66% of consolidated revenues, respectively.</w:t>
      </w:r>
    </w:p>
    <w:p>
      <w:pPr>
        <w:spacing w:after="0" w:line="18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investment portfolio segment includes the investment activities conducted by Royal Palm. The investment portfolio segment receives revenue in the form of interest and dividend income on its investments.</w:t>
      </w:r>
    </w:p>
    <w:p>
      <w:pPr>
        <w:spacing w:after="0" w:line="16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majority of our assets, revenues and expenses are directly associated with each respective business segment and are included in determining its asset balance and operating results. Those assets, revenues and expenses that are not directly attributable to a particular business segment are included in the Corporate function. Corporate operating expenses are allocated to the reportable segments based on their proportional share of total revenues. As a result, the sum of each income statement line item for the two reportable segments and the Corporate function is equal to that same income statement line item for the consolidated entity. In addition, the sum of the total assets for the two reportable segments and the Corporate function is equal to the total assets of the consolidated entity.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Segment information for the years ended December 31, 2025 and 2024 is as follows: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15"/>
        </w:trPr>
        <w:tc>
          <w:tcPr>
            <w:tcW w:w="3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9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Advisory services, external customers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16,575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16,575</w:t>
            </w:r>
          </w:p>
        </w:tc>
      </w:tr>
      <w:tr>
        <w:trPr>
          <w:trHeight w:val="203"/>
        </w:trPr>
        <w:tc>
          <w:tcPr>
            <w:tcW w:w="382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Advisory services, other operating segments</w:t>
            </w:r>
            <w:r>
              <w:rPr>
                <w:rFonts w:ascii="Times New Roman" w:cs="Times New Roman" w:eastAsia="Times New Roman" w:hAnsi="Times New Roman"/>
                <w:sz w:val="23"/>
                <w:szCs w:val="23"/>
                <w:color w:val="auto"/>
                <w:vertAlign w:val="superscript"/>
              </w:rPr>
              <w:t>(1)</w:t>
            </w:r>
          </w:p>
        </w:tc>
        <w:tc>
          <w:tcPr>
            <w:tcW w:w="86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189</w:t>
            </w:r>
          </w:p>
        </w:tc>
        <w:tc>
          <w:tcPr>
            <w:tcW w:w="2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dividend income</w:t>
            </w:r>
          </w:p>
        </w:tc>
        <w:tc>
          <w:tcPr>
            <w:tcW w:w="8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7,129</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7,129</w:t>
            </w:r>
          </w:p>
        </w:tc>
      </w:tr>
      <w:tr>
        <w:trPr>
          <w:trHeight w:val="203"/>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(4,677)</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5"/>
                <w:szCs w:val="15"/>
                <w:color w:val="auto"/>
              </w:rPr>
              <w:t xml:space="preserve">(2,136)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(6,813)</w:t>
            </w:r>
          </w:p>
        </w:tc>
      </w:tr>
      <w:tr>
        <w:trPr>
          <w:trHeight w:val="19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8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16,764</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2,452</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(2,136)</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16,891</w:t>
            </w: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86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205</w:t>
            </w:r>
          </w:p>
        </w:tc>
        <w:tc>
          <w:tcPr>
            <w:tcW w:w="220" w:type="dxa"/>
            <w:vAlign w:val="bottom"/>
          </w:tcPr>
          <w:p>
            <w:pPr>
              <w:spacing w:after="0"/>
              <w:rPr>
                <w:sz w:val="17"/>
                <w:szCs w:val="17"/>
                <w:color w:val="auto"/>
              </w:rPr>
            </w:pP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w:t>
            </w:r>
          </w:p>
        </w:tc>
      </w:tr>
      <w:tr>
        <w:trPr>
          <w:trHeight w:val="203"/>
        </w:trPr>
        <w:tc>
          <w:tcPr>
            <w:tcW w:w="38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Operating expenses</w:t>
            </w:r>
            <w:r>
              <w:rPr>
                <w:rFonts w:ascii="Times New Roman" w:cs="Times New Roman" w:eastAsia="Times New Roman" w:hAnsi="Times New Roman"/>
                <w:sz w:val="23"/>
                <w:szCs w:val="23"/>
                <w:color w:val="auto"/>
                <w:vertAlign w:val="superscript"/>
              </w:rPr>
              <w:t>(3)</w:t>
            </w:r>
          </w:p>
        </w:tc>
        <w:tc>
          <w:tcPr>
            <w:tcW w:w="8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(8,778)</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(12,603)</w:t>
            </w:r>
          </w:p>
        </w:tc>
      </w:tr>
      <w:tr>
        <w:trPr>
          <w:trHeight w:val="203"/>
        </w:trPr>
        <w:tc>
          <w:tcPr>
            <w:tcW w:w="38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5"/>
                <w:szCs w:val="15"/>
                <w:color w:val="auto"/>
              </w:rPr>
              <w:t>Intercompany expenses</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189</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7,986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4,493</w:t>
            </w:r>
          </w:p>
        </w:tc>
      </w:tr>
      <w:tr>
        <w:trPr>
          <w:trHeight w:val="183"/>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Year-end assets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2,617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120,751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6,326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129,694</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5"/>
        </w:trPr>
        <w:tc>
          <w:tcPr>
            <w:tcW w:w="3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9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Advisory services, external customers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12,784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12,784</w:t>
            </w:r>
          </w:p>
        </w:tc>
      </w:tr>
      <w:tr>
        <w:trPr>
          <w:trHeight w:val="203"/>
        </w:trPr>
        <w:tc>
          <w:tcPr>
            <w:tcW w:w="382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Advisory services, other operating segments</w:t>
            </w:r>
            <w:r>
              <w:rPr>
                <w:rFonts w:ascii="Times New Roman" w:cs="Times New Roman" w:eastAsia="Times New Roman" w:hAnsi="Times New Roman"/>
                <w:sz w:val="23"/>
                <w:szCs w:val="23"/>
                <w:color w:val="auto"/>
                <w:vertAlign w:val="superscript"/>
              </w:rPr>
              <w:t>(1)</w:t>
            </w:r>
          </w:p>
        </w:tc>
        <w:tc>
          <w:tcPr>
            <w:tcW w:w="86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145</w:t>
            </w:r>
          </w:p>
        </w:tc>
        <w:tc>
          <w:tcPr>
            <w:tcW w:w="2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dividend income</w:t>
            </w:r>
          </w:p>
        </w:tc>
        <w:tc>
          <w:tcPr>
            <w:tcW w:w="8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6,657</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6,658</w:t>
            </w:r>
          </w:p>
        </w:tc>
      </w:tr>
      <w:tr>
        <w:trPr>
          <w:trHeight w:val="203"/>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(5,140)</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xml:space="preserve">(2,401) </w:t>
            </w:r>
            <w:r>
              <w:rPr>
                <w:rFonts w:ascii="Times New Roman" w:cs="Times New Roman" w:eastAsia="Times New Roman" w:hAnsi="Times New Roman"/>
                <w:sz w:val="13"/>
                <w:szCs w:val="13"/>
                <w:color w:val="auto"/>
              </w:rPr>
              <w:t>(2)</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(7,541)</w:t>
            </w:r>
          </w:p>
        </w:tc>
      </w:tr>
      <w:tr>
        <w:trPr>
          <w:trHeight w:val="19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8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12,929</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1,517</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(2,400)</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11,901</w:t>
            </w:r>
          </w:p>
        </w:tc>
      </w:tr>
      <w:tr>
        <w:trPr>
          <w:trHeight w:val="203"/>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86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1,167</w:t>
            </w:r>
          </w:p>
        </w:tc>
        <w:tc>
          <w:tcPr>
            <w:tcW w:w="22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1,167</w:t>
            </w:r>
          </w:p>
        </w:tc>
      </w:tr>
      <w:tr>
        <w:trPr>
          <w:trHeight w:val="203"/>
        </w:trPr>
        <w:tc>
          <w:tcPr>
            <w:tcW w:w="38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Operating expenses</w:t>
            </w:r>
            <w:r>
              <w:rPr>
                <w:rFonts w:ascii="Times New Roman" w:cs="Times New Roman" w:eastAsia="Times New Roman" w:hAnsi="Times New Roman"/>
                <w:sz w:val="23"/>
                <w:szCs w:val="23"/>
                <w:color w:val="auto"/>
                <w:vertAlign w:val="superscript"/>
              </w:rPr>
              <w:t>(3)</w:t>
            </w:r>
          </w:p>
        </w:tc>
        <w:tc>
          <w:tcPr>
            <w:tcW w:w="8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(7,241)</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(11,258)</w:t>
            </w:r>
          </w:p>
        </w:tc>
      </w:tr>
      <w:tr>
        <w:trPr>
          <w:trHeight w:val="203"/>
        </w:trPr>
        <w:tc>
          <w:tcPr>
            <w:tcW w:w="38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5"/>
                <w:szCs w:val="15"/>
                <w:color w:val="auto"/>
              </w:rPr>
              <w:t>Intercompany expenses</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145</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5,688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(2,401)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1,810</w:t>
            </w:r>
          </w:p>
        </w:tc>
      </w:tr>
      <w:tr>
        <w:trPr>
          <w:trHeight w:val="183"/>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Year-end assets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2,006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146,714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6,134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154,854</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fees paid by Royal Palm to Bimini Advisors for advisory services at an annualized rate of 1.5% of capital allocated to Royal Palm's MBS portfolio.</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on long-term debt.</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expenses are allocated based on each segment’s proportional share of total revenues.</w:t>
      </w:r>
    </w:p>
    <w:p>
      <w:pPr>
        <w:spacing w:after="0" w:line="22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If the acquisition of 80% of the fully diluted equity interests of Tom Johnson Investment Management, LLC, a registered investment adviser (“TJIM”), is completed (the “TJIM Acquisition”), the composition of the Company’s business will change both from the perspective of how its capital is deployed and how it reports its results for its operating segments. See Note 17 for a discussion of the TJIM Acquisition. The TJIM Acquisition will require the deployment of a significant portion of the Company’s capital, including all capital currently deployed into the investment portfolio with the exception of shares of Orchid. The results of TJIM going forward would represent a significant portion of the Company’s aggregate results. If the TJIM Acquisition is completed and the Company is able to generate and retain earnings going forward, the Company expects that such funds will be deployed into an Agency MBS investment portfolio, in which case they are expected to be managed more conservatively in terms of the amount of leverage employed when compared to leverage employed by the Company historically. Given the Company’s intention to retain ownership of shares of Orchid if the TJIM Acquisition closes, the Company’s operating segments would consist of the management of Orchid, the controlling stake in the operations of TJIM, and to a lesser extent its investment portfolio, for a total of three reportable segments.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 with Orchid</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owned shares of Orchid common stock representing approximately 0.3% and 0.7%, respectively, of Orchid’s outstanding common stock, on such dates. During the years ended December 31, 2025 and 2024, the Company received dividends on this common stock investment of approximately $0.8 million and $0.8 million,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Robert Cauley, our Chief Executive Officer and Chairman of our Board of Directors, also serves as Chief Executive Officer and Chairman of the Board of Directors of Orchid, participates in Orchid's long term incentive compensation plan, and owns shares of common stock of Orchid. Hunter Haas, our Chief Financial Officer, Chief Investment Officer, Treasurer and member of Bimini's Board of Directors, also serves as Chief Financial Officer, Chief Investment Officer and Secretary of Orchid, is a member of Orchid’s Board of Directors, participates in Orchid's long term incentive compensation plan, and owns shares of common stock of Orchid. Robert J. Dwyer, an independent director of the Company, owns shares of common stock of Orchid.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Acquisition of Tom Johnson Investment Management, LLC</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January 13, 2026, the Company entered into a Membership Interest Purchase Agreement (the “Agreement”) in connection with the TJIM Acquisition. Following the closing contemplated by the Agreement (the “Closing”), the existing owners of TJIM will retain an ownership interest in TJIM. The purchase price to be paid in the TJIM Acquisition will equal 2.5 times 80% of TJIM’s revenue for the fiscal year ended December 31, 2025 and will be paid in cash at the Closing if the purchase price is less than or equal to $12,000,000. To the extent that the purchase price exceeds $12,000,000, the excess will be paid in three equal installments on the first, second, and third anniversaries of the Closing, plus interest at the rate of five percent (5%) per annum, compounded annually; provided, however, that if the excess is less than $1,000,000, it will be paid on or before the first anniversary of the Closing. The transaction agreement includes mutual put and call rights that could result in the Company’s acquisition of the remaining 20% equity interest retained by the existing owners.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had no disagreements with our Independent Registered Public Accounting Firm on any matter of accounting principles or practices or financial statement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(the “evaluation date”), the Company carried out an evaluation, under the supervision and with the participation of the Company’s management, including the Company’s Chief Executive Officer (“the CEO”) and Chief Financial Officer (“the CFO”), of the effectiveness of the design and operation of the Company’s disclosure controls and procedures, as defined in Rule 13a-15(e) under the Exchange Act of 1934 (the “Exchange Act”). Based on this evaluation, the CEO and CFO concluded that the Company’s disclosure controls and procedures, as designed and implemented, were effective as of the evaluation date (1) in ensuring that information regarding the Company and its subsidiaries is accumulated and communicated to our management, including our CEO and CFO, by our employees, as appropriate to allow timely decisions regarding required disclosure and (2) in providing reasonable assurance that information the Company must disclose in its periodic reports under the Exchange Act is recorded, processed, summarized and reported within the time periods prescribed by the SEC’s rules and forms.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Company’s internal control over financial reporting that occurred during the Company’s most recent fiscal quarter that have materially affected, or are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Internal control over financial reporting is defined in Rules 13a-15(f) and 15d-15(f)under the Securities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consolidated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660" w:right="360" w:hanging="328"/>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ind w:left="660" w:right="14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rFonts w:ascii="Times New Roman" w:cs="Times New Roman" w:eastAsia="Times New Roman" w:hAnsi="Times New Roman"/>
          <w:sz w:val="18"/>
          <w:szCs w:val="18"/>
          <w:color w:val="auto"/>
        </w:rPr>
      </w:pPr>
    </w:p>
    <w:p>
      <w:pPr>
        <w:ind w:left="660" w:right="40" w:hanging="328"/>
        <w:spacing w:after="0" w:line="26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8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As a result, even systems determined to be effective can provide only reasonable assurance regarding the preparation and presentation of consolidated financial statements. Moreover,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Company’s management, including the CEO and the CFO, assessed the effectiveness of the Company’s internal control over financial reporting as of December 31, 2025. In making this assessment, the Company’s management used criteria set forth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76"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Based on management’s assessment, the Company’s management, including the CEO and the CFO, concluded that, as of December 31, 2025, the Company’s internal control over financial reporting was effective.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2025, no director or officer of the Company adopted, modified or terminated any Rule 10b5-1 trading arrangement or non-Rule 10b5-1 trading arrangement, each as defined in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and not otherwise set forth below is incorporated herein by reference to the Company's definitive Proxy Statement relating to the Company’s 2026 Annual Meeting of Stockholders, which the Company expects to file with the U.S. Securities and Exchange Commission, pursuant to Regulation 14A, not later than 120 days after December 31, 2025 (the "Proxy Statement").</w:t>
      </w:r>
    </w:p>
    <w:p>
      <w:pPr>
        <w:spacing w:after="0" w:line="200" w:lineRule="exact"/>
        <w:rPr>
          <w:sz w:val="20"/>
          <w:szCs w:val="20"/>
          <w:color w:val="auto"/>
        </w:rPr>
      </w:pPr>
    </w:p>
    <w:p>
      <w:pPr>
        <w:spacing w:after="0" w:line="21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11 is incorporated herein by reference to the Proxy Statement.</w:t>
      </w:r>
    </w:p>
    <w:p>
      <w:pPr>
        <w:spacing w:after="0" w:line="200" w:lineRule="exact"/>
        <w:rPr>
          <w:sz w:val="20"/>
          <w:szCs w:val="20"/>
          <w:color w:val="auto"/>
        </w:rPr>
      </w:pPr>
    </w:p>
    <w:p>
      <w:pPr>
        <w:spacing w:after="0" w:line="26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12 is incorporated herein by reference to the Proxy Statement and to Part II, Item 5 of this Form 10-K.</w:t>
      </w:r>
    </w:p>
    <w:p>
      <w:pPr>
        <w:spacing w:after="0" w:line="22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13 is incorporated herein by reference to the Proxy Statement.</w:t>
      </w:r>
    </w:p>
    <w:p>
      <w:pPr>
        <w:spacing w:after="0" w:line="22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14 is incorporated herein by reference to the Proxy Statement.</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ind w:left="500" w:right="120" w:hanging="492"/>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consolidated financial statements of the Company, together with the report of Independent Registered Public Accounting Firm thereon, are set forth in Part II-Item 8 of this Form 10-K and are incorporated herein by reference.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information is filed as part of this Form 10-K:</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2"/>
        </w:trPr>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2"/>
        </w:trPr>
        <w:tc>
          <w:tcPr>
            <w:tcW w:w="500" w:type="dxa"/>
            <w:vAlign w:val="bottom"/>
          </w:tcPr>
          <w:p>
            <w:pPr>
              <w:spacing w:after="0"/>
              <w:rPr>
                <w:sz w:val="24"/>
                <w:szCs w:val="24"/>
                <w:color w:val="auto"/>
              </w:rPr>
            </w:pPr>
          </w:p>
        </w:tc>
        <w:tc>
          <w:tcPr>
            <w:tcW w:w="85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(BDO USA, P.C.; West Palm Beach, FL; PCAOB ID#243)</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49</w:t>
            </w:r>
          </w:p>
        </w:tc>
      </w:tr>
      <w:tr>
        <w:trPr>
          <w:trHeight w:val="196"/>
        </w:trPr>
        <w:tc>
          <w:tcPr>
            <w:tcW w:w="500" w:type="dxa"/>
            <w:vAlign w:val="bottom"/>
          </w:tcPr>
          <w:p>
            <w:pPr>
              <w:spacing w:after="0"/>
              <w:rPr>
                <w:sz w:val="17"/>
                <w:szCs w:val="17"/>
                <w:color w:val="auto"/>
              </w:rPr>
            </w:pPr>
          </w:p>
        </w:tc>
        <w:tc>
          <w:tcPr>
            <w:tcW w:w="9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13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52</w:t>
            </w:r>
          </w:p>
        </w:tc>
      </w:tr>
      <w:tr>
        <w:trPr>
          <w:trHeight w:val="20"/>
        </w:trPr>
        <w:tc>
          <w:tcPr>
            <w:tcW w:w="50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9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13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53</w:t>
            </w:r>
          </w:p>
        </w:tc>
      </w:tr>
      <w:tr>
        <w:trPr>
          <w:trHeight w:val="196"/>
        </w:trPr>
        <w:tc>
          <w:tcPr>
            <w:tcW w:w="50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Equity</w:t>
            </w:r>
          </w:p>
        </w:tc>
        <w:tc>
          <w:tcPr>
            <w:tcW w:w="300" w:type="dxa"/>
            <w:vAlign w:val="bottom"/>
            <w:tcBorders>
              <w:top w:val="single" w:sz="8" w:color="0000EE"/>
            </w:tcBorders>
          </w:tcPr>
          <w:p>
            <w:pPr>
              <w:spacing w:after="0"/>
              <w:rPr>
                <w:sz w:val="17"/>
                <w:szCs w:val="17"/>
                <w:color w:val="auto"/>
              </w:rPr>
            </w:pPr>
          </w:p>
        </w:tc>
        <w:tc>
          <w:tcPr>
            <w:tcW w:w="6640" w:type="dxa"/>
            <w:vAlign w:val="bottom"/>
            <w:gridSpan w:val="4"/>
          </w:tcPr>
          <w:p>
            <w:pPr>
              <w:spacing w:after="0"/>
              <w:rPr>
                <w:sz w:val="17"/>
                <w:szCs w:val="17"/>
                <w:color w:val="auto"/>
              </w:rPr>
            </w:pPr>
          </w:p>
        </w:tc>
        <w:tc>
          <w:tcPr>
            <w:tcW w:w="112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54</w:t>
            </w:r>
          </w:p>
        </w:tc>
      </w:tr>
      <w:tr>
        <w:trPr>
          <w:trHeight w:val="196"/>
        </w:trPr>
        <w:tc>
          <w:tcPr>
            <w:tcW w:w="500" w:type="dxa"/>
            <w:vAlign w:val="bottom"/>
          </w:tcPr>
          <w:p>
            <w:pPr>
              <w:spacing w:after="0"/>
              <w:rPr>
                <w:sz w:val="17"/>
                <w:szCs w:val="17"/>
                <w:color w:val="auto"/>
              </w:rPr>
            </w:pPr>
          </w:p>
        </w:tc>
        <w:tc>
          <w:tcPr>
            <w:tcW w:w="9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13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55</w:t>
            </w:r>
          </w:p>
        </w:tc>
      </w:tr>
      <w:tr>
        <w:trPr>
          <w:trHeight w:val="20"/>
        </w:trPr>
        <w:tc>
          <w:tcPr>
            <w:tcW w:w="50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9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3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56</w:t>
            </w:r>
          </w:p>
        </w:tc>
      </w:tr>
      <w:tr>
        <w:trPr>
          <w:trHeight w:val="45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140" w:type="dxa"/>
            <w:vAlign w:val="bottom"/>
            <w:tcBorders>
              <w:top w:val="single" w:sz="8" w:color="0000EE"/>
            </w:tcBorders>
            <w:gridSpan w:val="5"/>
          </w:tcPr>
          <w:p>
            <w:pPr>
              <w:ind w:left="40"/>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630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432"/>
        </w:trPr>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9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Exhibits.</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No</w:t>
      </w:r>
    </w:p>
    <w:p>
      <w:pPr>
        <w:spacing w:after="0" w:line="225" w:lineRule="exact"/>
        <w:rPr>
          <w:sz w:val="20"/>
          <w:szCs w:val="20"/>
          <w:color w:val="auto"/>
        </w:rPr>
      </w:pPr>
    </w:p>
    <w:p>
      <w:pPr>
        <w:spacing w:after="0"/>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91">
        <w:r>
          <w:rPr>
            <w:rFonts w:ascii="Times New Roman" w:cs="Times New Roman" w:eastAsia="Times New Roman" w:hAnsi="Times New Roman"/>
            <w:sz w:val="18"/>
            <w:szCs w:val="18"/>
            <w:u w:val="single" w:color="auto"/>
            <w:color w:val="0000EE"/>
          </w:rPr>
          <w:t>Articles of Amendment and Restatement, incorporated by reference to Exhibit 3.1 to the Company’s Form S-11/A, filed with the SEC on April 29,</w:t>
        </w:r>
      </w:hyperlink>
    </w:p>
    <w:p>
      <w:pPr>
        <w:spacing w:after="0" w:line="27" w:lineRule="exact"/>
        <w:rPr>
          <w:sz w:val="20"/>
          <w:szCs w:val="20"/>
          <w:color w:val="auto"/>
        </w:rPr>
      </w:pPr>
    </w:p>
    <w:p>
      <w:pPr>
        <w:ind w:left="620"/>
        <w:spacing w:after="0"/>
        <w:rPr>
          <w:rFonts w:ascii="Times New Roman" w:cs="Times New Roman" w:eastAsia="Times New Roman" w:hAnsi="Times New Roman"/>
          <w:sz w:val="18"/>
          <w:szCs w:val="18"/>
          <w:u w:val="single" w:color="auto"/>
          <w:color w:val="0000EE"/>
        </w:rPr>
      </w:pPr>
      <w:hyperlink r:id="rId91">
        <w:r>
          <w:rPr>
            <w:rFonts w:ascii="Times New Roman" w:cs="Times New Roman" w:eastAsia="Times New Roman" w:hAnsi="Times New Roman"/>
            <w:sz w:val="18"/>
            <w:szCs w:val="18"/>
            <w:u w:val="single" w:color="auto"/>
            <w:color w:val="0000EE"/>
          </w:rPr>
          <w:t>2004</w:t>
        </w:r>
      </w:hyperlink>
    </w:p>
    <w:p>
      <w:pPr>
        <w:spacing w:after="0" w:line="9" w:lineRule="exact"/>
        <w:rPr>
          <w:sz w:val="20"/>
          <w:szCs w:val="20"/>
          <w:color w:val="auto"/>
        </w:rPr>
      </w:pPr>
    </w:p>
    <w:p>
      <w:pPr>
        <w:jc w:val="both"/>
        <w:ind w:left="620" w:hanging="620"/>
        <w:spacing w:after="0" w:line="250" w:lineRule="auto"/>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92">
        <w:r>
          <w:rPr>
            <w:rFonts w:ascii="Times New Roman" w:cs="Times New Roman" w:eastAsia="Times New Roman" w:hAnsi="Times New Roman"/>
            <w:sz w:val="18"/>
            <w:szCs w:val="18"/>
            <w:u w:val="single" w:color="auto"/>
            <w:color w:val="0000EE"/>
          </w:rPr>
          <w:t>Articles Supplementary, incorporated by reference to Exhibit 3.1 to the Company’s Current Report on Form 8-K, dated November 3, 2005, filed</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with the SEC on November 8, 2005</w:t>
        </w:r>
      </w:hyperlink>
    </w:p>
    <w:p>
      <w:pPr>
        <w:spacing w:after="0" w:line="1" w:lineRule="exact"/>
        <w:rPr>
          <w:sz w:val="20"/>
          <w:szCs w:val="20"/>
          <w:color w:val="auto"/>
        </w:rPr>
      </w:pPr>
    </w:p>
    <w:p>
      <w:pPr>
        <w:jc w:val="both"/>
        <w:ind w:left="620" w:hanging="620"/>
        <w:spacing w:after="0" w:line="250" w:lineRule="auto"/>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93">
        <w:r>
          <w:rPr>
            <w:rFonts w:ascii="Times New Roman" w:cs="Times New Roman" w:eastAsia="Times New Roman" w:hAnsi="Times New Roman"/>
            <w:sz w:val="18"/>
            <w:szCs w:val="18"/>
            <w:u w:val="single" w:color="auto"/>
            <w:color w:val="0000EE"/>
          </w:rPr>
          <w:t>Articles of Amendment, incorporated by reference to Exhibit 3.1 to the Company’s Current Report on Form 8-K, dated February 10, 2006, filed</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with the SEC on February 15, 2006</w:t>
        </w:r>
      </w:hyperlink>
    </w:p>
    <w:p>
      <w:pPr>
        <w:spacing w:after="0" w:line="1" w:lineRule="exact"/>
        <w:rPr>
          <w:sz w:val="20"/>
          <w:szCs w:val="20"/>
          <w:color w:val="auto"/>
        </w:rPr>
      </w:pPr>
    </w:p>
    <w:p>
      <w:pPr>
        <w:jc w:val="both"/>
        <w:ind w:left="620" w:hanging="620"/>
        <w:spacing w:after="0" w:line="250" w:lineRule="auto"/>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94">
        <w:r>
          <w:rPr>
            <w:rFonts w:ascii="Times New Roman" w:cs="Times New Roman" w:eastAsia="Times New Roman" w:hAnsi="Times New Roman"/>
            <w:sz w:val="18"/>
            <w:szCs w:val="18"/>
            <w:u w:val="single" w:color="auto"/>
            <w:color w:val="0000EE"/>
          </w:rPr>
          <w:t>Articles of Amendment, incorporated by reference to Exhibit 3.1 to the Company’s Current Report on Form 8-K, dated September 24, 2007, filed</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with the SEC on September 24, 2007</w:t>
        </w:r>
      </w:hyperlink>
    </w:p>
    <w:p>
      <w:pPr>
        <w:spacing w:after="0" w:line="1" w:lineRule="exact"/>
        <w:rPr>
          <w:sz w:val="20"/>
          <w:szCs w:val="20"/>
          <w:color w:val="auto"/>
        </w:rPr>
      </w:pPr>
    </w:p>
    <w:p>
      <w:pPr>
        <w:jc w:val="both"/>
        <w:ind w:left="620" w:hanging="620"/>
        <w:spacing w:after="0" w:line="250" w:lineRule="auto"/>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3.5</w:t>
      </w:r>
      <w:r>
        <w:rPr>
          <w:sz w:val="20"/>
          <w:szCs w:val="20"/>
          <w:color w:val="auto"/>
        </w:rPr>
        <w:tab/>
      </w:r>
      <w:hyperlink r:id="rId95">
        <w:r>
          <w:rPr>
            <w:rFonts w:ascii="Times New Roman" w:cs="Times New Roman" w:eastAsia="Times New Roman" w:hAnsi="Times New Roman"/>
            <w:sz w:val="18"/>
            <w:szCs w:val="18"/>
            <w:u w:val="single" w:color="auto"/>
            <w:color w:val="0000EE"/>
          </w:rPr>
          <w:t>Certificate of Notice, incorporated by reference to Exhibit 3.1 to the Company’s Current Report on Form 8-K, dated January 28, 2008, filed with</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the SEC on February 1, 2008</w:t>
        </w:r>
      </w:hyperlink>
    </w:p>
    <w:p>
      <w:pPr>
        <w:spacing w:after="0" w:line="1" w:lineRule="exact"/>
        <w:rPr>
          <w:sz w:val="20"/>
          <w:szCs w:val="20"/>
          <w:color w:val="auto"/>
        </w:rPr>
      </w:pPr>
    </w:p>
    <w:p>
      <w:pPr>
        <w:jc w:val="both"/>
        <w:ind w:left="620" w:hanging="620"/>
        <w:spacing w:after="0" w:line="250" w:lineRule="auto"/>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3.6</w:t>
      </w:r>
      <w:r>
        <w:rPr>
          <w:sz w:val="20"/>
          <w:szCs w:val="20"/>
          <w:color w:val="auto"/>
        </w:rPr>
        <w:tab/>
      </w:r>
      <w:hyperlink r:id="rId96">
        <w:r>
          <w:rPr>
            <w:rFonts w:ascii="Times New Roman" w:cs="Times New Roman" w:eastAsia="Times New Roman" w:hAnsi="Times New Roman"/>
            <w:sz w:val="18"/>
            <w:szCs w:val="18"/>
            <w:u w:val="single" w:color="auto"/>
            <w:color w:val="0000EE"/>
          </w:rPr>
          <w:t>Articles Supplementary, reclassifying shares of Class A Preferred Stock and Class B Preferred Stock into Preferred Stock, incorporated by</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reference to Exhibit 3.1 to the Company’s Current Report on Form 8-K, dated December 21, 2015, filed with the SEC on December 21, 2015</w:t>
        </w:r>
      </w:hyperlink>
    </w:p>
    <w:p>
      <w:pPr>
        <w:spacing w:after="0" w:line="1" w:lineRule="exact"/>
        <w:rPr>
          <w:sz w:val="20"/>
          <w:szCs w:val="20"/>
          <w:color w:val="auto"/>
        </w:rPr>
      </w:pPr>
    </w:p>
    <w:p>
      <w:pPr>
        <w:spacing w:after="0"/>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3.7</w:t>
      </w:r>
      <w:r>
        <w:rPr>
          <w:sz w:val="20"/>
          <w:szCs w:val="20"/>
          <w:color w:val="auto"/>
        </w:rPr>
        <w:tab/>
      </w:r>
      <w:hyperlink r:id="rId97">
        <w:r>
          <w:rPr>
            <w:rFonts w:ascii="Times New Roman" w:cs="Times New Roman" w:eastAsia="Times New Roman" w:hAnsi="Times New Roman"/>
            <w:sz w:val="18"/>
            <w:szCs w:val="18"/>
            <w:u w:val="single" w:color="auto"/>
            <w:color w:val="0000EE"/>
          </w:rPr>
          <w:t>Articles Supplementary, creating the Series A Preferred Stock, incorporated by reference to Exhibit 3.2 to the Company’s Current Report on Form</w:t>
        </w:r>
      </w:hyperlink>
    </w:p>
    <w:p>
      <w:pPr>
        <w:spacing w:after="0" w:line="9" w:lineRule="exact"/>
        <w:rPr>
          <w:sz w:val="20"/>
          <w:szCs w:val="20"/>
          <w:color w:val="auto"/>
        </w:rPr>
      </w:pPr>
    </w:p>
    <w:p>
      <w:pPr>
        <w:ind w:left="620"/>
        <w:spacing w:after="0"/>
        <w:rPr>
          <w:rFonts w:ascii="Times New Roman" w:cs="Times New Roman" w:eastAsia="Times New Roman" w:hAnsi="Times New Roman"/>
          <w:sz w:val="18"/>
          <w:szCs w:val="18"/>
          <w:u w:val="single" w:color="auto"/>
          <w:color w:val="0000EE"/>
        </w:rPr>
      </w:pPr>
      <w:hyperlink r:id="rId97">
        <w:r>
          <w:rPr>
            <w:rFonts w:ascii="Times New Roman" w:cs="Times New Roman" w:eastAsia="Times New Roman" w:hAnsi="Times New Roman"/>
            <w:sz w:val="18"/>
            <w:szCs w:val="18"/>
            <w:u w:val="single" w:color="auto"/>
            <w:color w:val="0000EE"/>
          </w:rPr>
          <w:t>8-K, dated December 21, 2015, filed with the SEC on December 21, 2015.</w:t>
        </w:r>
      </w:hyperlink>
    </w:p>
    <w:p>
      <w:pPr>
        <w:spacing w:after="0" w:line="9" w:lineRule="exact"/>
        <w:rPr>
          <w:sz w:val="20"/>
          <w:szCs w:val="20"/>
          <w:color w:val="auto"/>
        </w:rPr>
      </w:pPr>
    </w:p>
    <w:p>
      <w:pPr>
        <w:spacing w:after="0"/>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3.8</w:t>
      </w:r>
      <w:r>
        <w:rPr>
          <w:sz w:val="20"/>
          <w:szCs w:val="20"/>
          <w:color w:val="auto"/>
        </w:rPr>
        <w:tab/>
      </w:r>
      <w:hyperlink r:id="rId98">
        <w:r>
          <w:rPr>
            <w:rFonts w:ascii="Times New Roman" w:cs="Times New Roman" w:eastAsia="Times New Roman" w:hAnsi="Times New Roman"/>
            <w:sz w:val="18"/>
            <w:szCs w:val="18"/>
            <w:u w:val="single" w:color="auto"/>
            <w:color w:val="0000EE"/>
          </w:rPr>
          <w:t>Amended and Restated Bylaws, incorporated by reference to Exhibit 3.2 to the Company’s Current Report on Form 8-K, dated September 24,</w:t>
        </w:r>
      </w:hyperlink>
    </w:p>
    <w:p>
      <w:pPr>
        <w:spacing w:after="0" w:line="9" w:lineRule="exact"/>
        <w:rPr>
          <w:sz w:val="20"/>
          <w:szCs w:val="20"/>
          <w:color w:val="auto"/>
        </w:rPr>
      </w:pPr>
    </w:p>
    <w:p>
      <w:pPr>
        <w:ind w:left="620"/>
        <w:spacing w:after="0"/>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2007, filed with the SEC on September 24, 2007</w:t>
        </w:r>
      </w:hyperlink>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20" w:hanging="620"/>
        <w:spacing w:after="0" w:line="261" w:lineRule="auto"/>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00">
        <w:r>
          <w:rPr>
            <w:rFonts w:ascii="Times New Roman" w:cs="Times New Roman" w:eastAsia="Times New Roman" w:hAnsi="Times New Roman"/>
            <w:sz w:val="18"/>
            <w:szCs w:val="18"/>
            <w:u w:val="single" w:color="auto"/>
            <w:color w:val="0000EE"/>
          </w:rPr>
          <w:t>Rights Plan, dated as of December 21, 2015, between the Company and Broadridge Corporate Issuer Solutions, Inc. incorporated by reference to</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Exhibit 4.1 to the Company’s Current Report on Form 8-K, dated December 21, 2015, filed with the SEC on December 21, 2015.</w:t>
        </w:r>
      </w:hyperlink>
    </w:p>
    <w:p>
      <w:pPr>
        <w:jc w:val="both"/>
        <w:ind w:left="620" w:right="720" w:hanging="620"/>
        <w:spacing w:after="0" w:line="250" w:lineRule="auto"/>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101">
        <w:r>
          <w:rPr>
            <w:rFonts w:ascii="Times New Roman" w:cs="Times New Roman" w:eastAsia="Times New Roman" w:hAnsi="Times New Roman"/>
            <w:sz w:val="18"/>
            <w:szCs w:val="18"/>
            <w:u w:val="single" w:color="auto"/>
            <w:color w:val="0000EE"/>
          </w:rPr>
          <w:t>First Amendment to Rights Plan, dated as of December 10, 2025, between the Company and Broadridge Corporate Issuer Solutions, Inc.,</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incorporated by reference to Exhibit 4.2 to the Company’s Current Report on Form 8-K, dated December 10, 2025, filed with the SEC on</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December 10, 2025.</w:t>
        </w:r>
      </w:hyperlink>
    </w:p>
    <w:p>
      <w:pPr>
        <w:spacing w:after="0" w:line="1" w:lineRule="exact"/>
        <w:rPr>
          <w:rFonts w:ascii="Times New Roman" w:cs="Times New Roman" w:eastAsia="Times New Roman" w:hAnsi="Times New Roman"/>
          <w:sz w:val="18"/>
          <w:szCs w:val="18"/>
          <w:u w:val="single" w:color="auto"/>
          <w:color w:val="0000EE"/>
        </w:rPr>
      </w:pPr>
    </w:p>
    <w:p>
      <w:pPr>
        <w:jc w:val="both"/>
        <w:ind w:left="620" w:hanging="620"/>
        <w:spacing w:after="0" w:line="250" w:lineRule="auto"/>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102">
        <w:r>
          <w:rPr>
            <w:rFonts w:ascii="Times New Roman" w:cs="Times New Roman" w:eastAsia="Times New Roman" w:hAnsi="Times New Roman"/>
            <w:sz w:val="18"/>
            <w:szCs w:val="18"/>
            <w:u w:val="single" w:color="auto"/>
            <w:color w:val="0000EE"/>
          </w:rPr>
          <w:t>Description of the Company’s Capital Stock, incorporated by reference to Exhibit 4.2 to the Company’s Annual Report on Form 10-K, filed with</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the SEC on March 27, 2020.</w:t>
        </w:r>
      </w:hyperlink>
    </w:p>
    <w:p>
      <w:pPr>
        <w:spacing w:after="0" w:line="1" w:lineRule="exact"/>
        <w:rPr>
          <w:sz w:val="20"/>
          <w:szCs w:val="20"/>
          <w:color w:val="auto"/>
        </w:rPr>
      </w:pPr>
    </w:p>
    <w:p>
      <w:pPr>
        <w:jc w:val="both"/>
        <w:ind w:left="620" w:hanging="620"/>
        <w:spacing w:after="0" w:line="250" w:lineRule="auto"/>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03">
        <w:r>
          <w:rPr>
            <w:rFonts w:ascii="Times New Roman" w:cs="Times New Roman" w:eastAsia="Times New Roman" w:hAnsi="Times New Roman"/>
            <w:sz w:val="18"/>
            <w:szCs w:val="18"/>
            <w:u w:val="single" w:color="auto"/>
            <w:color w:val="0000EE"/>
          </w:rPr>
          <w:t>Management Agreement between Orchid Island Capital, Inc. and Bimini Advisors, LLC date February 20, 2013, incorporated by reference to</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Exhibit 10.1 to the Company’s Current Report on Form 8-K, dated February 20, 2013, filed with the SEC on February 20, 2013.</w:t>
        </w:r>
      </w:hyperlink>
    </w:p>
    <w:p>
      <w:pPr>
        <w:spacing w:after="0" w:line="1" w:lineRule="exact"/>
        <w:rPr>
          <w:sz w:val="20"/>
          <w:szCs w:val="20"/>
          <w:color w:val="auto"/>
        </w:rPr>
      </w:pPr>
    </w:p>
    <w:p>
      <w:pPr>
        <w:jc w:val="both"/>
        <w:ind w:left="620" w:hanging="620"/>
        <w:spacing w:after="0" w:line="250" w:lineRule="auto"/>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04">
        <w:r>
          <w:rPr>
            <w:rFonts w:ascii="Times New Roman" w:cs="Times New Roman" w:eastAsia="Times New Roman" w:hAnsi="Times New Roman"/>
            <w:sz w:val="18"/>
            <w:szCs w:val="18"/>
            <w:u w:val="single" w:color="auto"/>
            <w:color w:val="0000EE"/>
          </w:rPr>
          <w:t>First Amendment to Management Agreement dated as of April 1, 2014, incorporated by reference to Exhibit 10.1 to the Company’s Current</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Report on Form 8-K, dated April 3, 2014.</w:t>
        </w:r>
      </w:hyperlink>
    </w:p>
    <w:p>
      <w:pPr>
        <w:spacing w:after="0" w:line="1" w:lineRule="exact"/>
        <w:rPr>
          <w:sz w:val="20"/>
          <w:szCs w:val="20"/>
          <w:color w:val="auto"/>
        </w:rPr>
      </w:pPr>
    </w:p>
    <w:p>
      <w:pPr>
        <w:jc w:val="both"/>
        <w:ind w:left="620" w:hanging="620"/>
        <w:spacing w:after="0" w:line="250" w:lineRule="auto"/>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05">
        <w:r>
          <w:rPr>
            <w:rFonts w:ascii="Times New Roman" w:cs="Times New Roman" w:eastAsia="Times New Roman" w:hAnsi="Times New Roman"/>
            <w:sz w:val="18"/>
            <w:szCs w:val="18"/>
            <w:u w:val="single" w:color="auto"/>
            <w:color w:val="0000EE"/>
          </w:rPr>
          <w:t>Second Amendment to Management Agreement dated as of June 30, 2014, incorporated by reference to Exhibit 10.1 to the Company’s Current</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Report on Form 8-K, dated July 3, 2014.</w:t>
        </w:r>
      </w:hyperlink>
    </w:p>
    <w:p>
      <w:pPr>
        <w:spacing w:after="0" w:line="1" w:lineRule="exact"/>
        <w:rPr>
          <w:sz w:val="20"/>
          <w:szCs w:val="20"/>
          <w:color w:val="auto"/>
        </w:rPr>
      </w:pPr>
    </w:p>
    <w:p>
      <w:pPr>
        <w:jc w:val="both"/>
        <w:ind w:left="620" w:hanging="620"/>
        <w:spacing w:after="0" w:line="250" w:lineRule="auto"/>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06">
        <w:r>
          <w:rPr>
            <w:rFonts w:ascii="Times New Roman" w:cs="Times New Roman" w:eastAsia="Times New Roman" w:hAnsi="Times New Roman"/>
            <w:sz w:val="18"/>
            <w:szCs w:val="18"/>
            <w:u w:val="single" w:color="auto"/>
            <w:color w:val="0000EE"/>
          </w:rPr>
          <w:t>Third Amendment to Management Agreement dated as of November 16, 2021, incorporated by reference to Exhibit 10.1 to the Company’s</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Current Report on Form 8-K, dated November 17, 2021, filed with the SEC on November 18, 2021.</w:t>
        </w:r>
      </w:hyperlink>
    </w:p>
    <w:p>
      <w:pPr>
        <w:spacing w:after="0" w:line="1" w:lineRule="exact"/>
        <w:rPr>
          <w:sz w:val="20"/>
          <w:szCs w:val="20"/>
          <w:color w:val="auto"/>
        </w:rPr>
      </w:pPr>
    </w:p>
    <w:p>
      <w:pPr>
        <w:jc w:val="both"/>
        <w:ind w:left="620" w:hanging="620"/>
        <w:spacing w:after="0" w:line="250" w:lineRule="auto"/>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07">
        <w:r>
          <w:rPr>
            <w:rFonts w:ascii="Times New Roman" w:cs="Times New Roman" w:eastAsia="Times New Roman" w:hAnsi="Times New Roman"/>
            <w:sz w:val="18"/>
            <w:szCs w:val="18"/>
            <w:u w:val="single" w:color="auto"/>
            <w:color w:val="0000EE"/>
          </w:rPr>
          <w:t>Investment Allocation Agreement among the Company, Orchid Island Capital, Inc. and Bimini Advisors, LLC dated February 20, 2013,</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incorporated by reference to Exhibit 10.2 to the Company’s Current Report on Form 8-K, dated February 20, 2013, filed with the SEC on February</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20, 2013.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620" w:hanging="620"/>
        <w:spacing w:after="0" w:line="250" w:lineRule="auto"/>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08">
        <w:r>
          <w:rPr>
            <w:rFonts w:ascii="Times New Roman" w:cs="Times New Roman" w:eastAsia="Times New Roman" w:hAnsi="Times New Roman"/>
            <w:sz w:val="18"/>
            <w:szCs w:val="18"/>
            <w:u w:val="single" w:color="auto"/>
            <w:color w:val="0000EE"/>
          </w:rPr>
          <w:t>Agreement between the Company and Robert E. Cauley dated June 30, 2009, regarding compensation payable in connection with certain</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termination or change of control events, incorporated by reference to Exhibit 99.1 to the Company’s Current Report on Form 8-K, filed with the</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SEC on July 2, 2009.*</w:t>
        </w:r>
      </w:hyperlink>
    </w:p>
    <w:p>
      <w:pPr>
        <w:spacing w:after="0" w:line="1" w:lineRule="exact"/>
        <w:rPr>
          <w:rFonts w:ascii="Times New Roman" w:cs="Times New Roman" w:eastAsia="Times New Roman" w:hAnsi="Times New Roman"/>
          <w:sz w:val="18"/>
          <w:szCs w:val="18"/>
          <w:u w:val="single" w:color="auto"/>
          <w:color w:val="0000EE"/>
        </w:rPr>
      </w:pPr>
    </w:p>
    <w:p>
      <w:pPr>
        <w:jc w:val="both"/>
        <w:ind w:left="620" w:hanging="620"/>
        <w:spacing w:after="0" w:line="250" w:lineRule="auto"/>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09">
        <w:r>
          <w:rPr>
            <w:rFonts w:ascii="Times New Roman" w:cs="Times New Roman" w:eastAsia="Times New Roman" w:hAnsi="Times New Roman"/>
            <w:sz w:val="18"/>
            <w:szCs w:val="18"/>
            <w:u w:val="single" w:color="auto"/>
            <w:color w:val="0000EE"/>
          </w:rPr>
          <w:t>Agreement between the Company and G. Hunter Haas, IV dated June 30, 2009, regarding compensation payable in connection with certain</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termination or change of control events, incorporated by reference to Exhibit 99.2 to the Company’s Current Report on Form 8-K, filed with the</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SEC on July 2, 2009.*</w:t>
        </w:r>
      </w:hyperlink>
    </w:p>
    <w:p>
      <w:pPr>
        <w:spacing w:after="0" w:line="1" w:lineRule="exact"/>
        <w:rPr>
          <w:rFonts w:ascii="Times New Roman" w:cs="Times New Roman" w:eastAsia="Times New Roman" w:hAnsi="Times New Roman"/>
          <w:sz w:val="18"/>
          <w:szCs w:val="18"/>
          <w:u w:val="single" w:color="auto"/>
          <w:color w:val="0000EE"/>
        </w:rPr>
      </w:pPr>
    </w:p>
    <w:p>
      <w:pPr>
        <w:ind w:left="620" w:right="100" w:hanging="620"/>
        <w:spacing w:after="0" w:line="250" w:lineRule="auto"/>
        <w:tabs>
          <w:tab w:leader="none" w:pos="6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10">
        <w:r>
          <w:rPr>
            <w:rFonts w:ascii="Times New Roman" w:cs="Times New Roman" w:eastAsia="Times New Roman" w:hAnsi="Times New Roman"/>
            <w:sz w:val="18"/>
            <w:szCs w:val="18"/>
            <w:u w:val="single" w:color="auto"/>
            <w:color w:val="0000EE"/>
          </w:rPr>
          <w:t>Membership Interest Purchase Agreement, dated January 13, 2026, incorporated by reference to Exhibit 10.1 to the Company’s Current Report on</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Form 8-K, filed with the SEC on January 14, 2026.</w:t>
        </w:r>
      </w:hyperlink>
    </w:p>
    <w:p>
      <w:pPr>
        <w:spacing w:after="0" w:line="1" w:lineRule="exact"/>
        <w:rPr>
          <w:sz w:val="20"/>
          <w:szCs w:val="20"/>
          <w:color w:val="auto"/>
        </w:rPr>
      </w:pPr>
    </w:p>
    <w:p>
      <w:pPr>
        <w:spacing w:after="0"/>
        <w:tabs>
          <w:tab w:leader="none" w:pos="6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19.1</w:t>
      </w:r>
      <w:r>
        <w:rPr>
          <w:sz w:val="20"/>
          <w:szCs w:val="20"/>
          <w:color w:val="auto"/>
        </w:rPr>
        <w:tab/>
      </w:r>
      <w:hyperlink r:id="rId111">
        <w:r>
          <w:rPr>
            <w:rFonts w:ascii="Times New Roman" w:cs="Times New Roman" w:eastAsia="Times New Roman" w:hAnsi="Times New Roman"/>
            <w:sz w:val="17"/>
            <w:szCs w:val="17"/>
            <w:u w:val="single" w:color="auto"/>
            <w:color w:val="0000EE"/>
          </w:rPr>
          <w:t>Insider Trading Policy, incorporated by reference to Exhibit 19.1 to the Company’s Annual Report on Form 10-K, dated March 7, 2025</w:t>
        </w:r>
      </w:hyperlink>
    </w:p>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0000EE"/>
        </w:rPr>
        <w:t>Subsidiaries of the Registrant**</w:t>
      </w:r>
    </w:p>
    <w:p>
      <w:pPr>
        <w:spacing w:after="0" w:line="9" w:lineRule="exact"/>
        <w:rPr>
          <w:sz w:val="20"/>
          <w:szCs w:val="20"/>
          <w:color w:val="auto"/>
        </w:rPr>
      </w:pPr>
    </w:p>
    <w:p>
      <w:pPr>
        <w:ind w:left="620" w:hanging="620"/>
        <w:spacing w:after="0" w:line="217" w:lineRule="exact"/>
        <w:tabs>
          <w:tab w:leader="none" w:pos="6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the Principal Executive Officer, pursuant to Rule 13a-14(a) or 15d-14(a) of the Securities Exchange Act of 1934, as adopted pursuant to Section 302 of the Sarbanes</w:t>
      </w:r>
      <w:r>
        <w:rPr>
          <w:rFonts w:ascii="MS PGothic" w:cs="MS PGothic" w:eastAsia="MS PGothic" w:hAnsi="MS PGothic"/>
          <w:sz w:val="18"/>
          <w:szCs w:val="18"/>
          <w:u w:val="single" w:color="auto"/>
          <w:color w:val="0000EE"/>
        </w:rPr>
        <w:t>‑</w:t>
      </w:r>
      <w:r>
        <w:rPr>
          <w:rFonts w:ascii="Times New Roman" w:cs="Times New Roman" w:eastAsia="Times New Roman" w:hAnsi="Times New Roman"/>
          <w:sz w:val="18"/>
          <w:szCs w:val="18"/>
          <w:u w:val="single" w:color="auto"/>
          <w:color w:val="0000EE"/>
        </w:rPr>
        <w:t>Oxley Act of 2002**</w:t>
      </w:r>
    </w:p>
    <w:p>
      <w:pPr>
        <w:spacing w:after="0" w:line="1" w:lineRule="exact"/>
        <w:rPr>
          <w:sz w:val="20"/>
          <w:szCs w:val="20"/>
          <w:color w:val="auto"/>
        </w:rPr>
      </w:pPr>
    </w:p>
    <w:p>
      <w:pPr>
        <w:ind w:left="620" w:right="20" w:hanging="620"/>
        <w:spacing w:after="0" w:line="213" w:lineRule="exact"/>
        <w:tabs>
          <w:tab w:leader="none" w:pos="6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the Principal Financial Officer, pursuant to Rule 13a-14(a) or 15d-14(a) of the Securities Exchange Act of 1934, as adopted pursuant to Section 302 of the Sarbanes</w:t>
      </w:r>
      <w:r>
        <w:rPr>
          <w:rFonts w:ascii="MS PGothic" w:cs="MS PGothic" w:eastAsia="MS PGothic" w:hAnsi="MS PGothic"/>
          <w:sz w:val="18"/>
          <w:szCs w:val="18"/>
          <w:u w:val="single" w:color="auto"/>
          <w:color w:val="0000EE"/>
        </w:rPr>
        <w:t>‑</w:t>
      </w:r>
      <w:r>
        <w:rPr>
          <w:rFonts w:ascii="Times New Roman" w:cs="Times New Roman" w:eastAsia="Times New Roman" w:hAnsi="Times New Roman"/>
          <w:sz w:val="18"/>
          <w:szCs w:val="18"/>
          <w:u w:val="single" w:color="auto"/>
          <w:color w:val="0000EE"/>
        </w:rPr>
        <w:t>Oxley Act of 2002**</w:t>
      </w:r>
    </w:p>
    <w:p>
      <w:pPr>
        <w:spacing w:after="0" w:line="1" w:lineRule="exact"/>
        <w:rPr>
          <w:sz w:val="20"/>
          <w:szCs w:val="20"/>
          <w:color w:val="auto"/>
        </w:rPr>
      </w:pPr>
    </w:p>
    <w:p>
      <w:pPr>
        <w:ind w:left="620" w:hanging="620"/>
        <w:spacing w:after="0" w:line="216" w:lineRule="exact"/>
        <w:tabs>
          <w:tab w:leader="none" w:pos="6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the Chief Executive Officer, pursuant to 18 U.S.C. Section 1350, as adopted pursuant to Section 906 of the Sarbanes</w:t>
      </w:r>
      <w:r>
        <w:rPr>
          <w:rFonts w:ascii="MS PGothic" w:cs="MS PGothic" w:eastAsia="MS PGothic" w:hAnsi="MS PGothic"/>
          <w:sz w:val="18"/>
          <w:szCs w:val="18"/>
          <w:u w:val="single" w:color="auto"/>
          <w:color w:val="0000EE"/>
        </w:rPr>
        <w:t>‑</w:t>
      </w:r>
      <w:r>
        <w:rPr>
          <w:rFonts w:ascii="Times New Roman" w:cs="Times New Roman" w:eastAsia="Times New Roman" w:hAnsi="Times New Roman"/>
          <w:sz w:val="18"/>
          <w:szCs w:val="18"/>
          <w:u w:val="single" w:color="auto"/>
          <w:color w:val="0000EE"/>
        </w:rPr>
        <w:t>Oxley Act of 2002***</w:t>
      </w:r>
    </w:p>
    <w:p>
      <w:pPr>
        <w:spacing w:after="0" w:line="1" w:lineRule="exact"/>
        <w:rPr>
          <w:sz w:val="20"/>
          <w:szCs w:val="20"/>
          <w:color w:val="auto"/>
        </w:rPr>
      </w:pPr>
    </w:p>
    <w:p>
      <w:pPr>
        <w:ind w:left="620" w:hanging="620"/>
        <w:spacing w:after="0" w:line="219" w:lineRule="exact"/>
        <w:tabs>
          <w:tab w:leader="none" w:pos="6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Certification of the Chief Financial Officer, pursuant to 18 U.S.C. Section 1350, as adopted pursuant to Section 906 of the Sarbanes</w:t>
      </w:r>
      <w:r>
        <w:rPr>
          <w:rFonts w:ascii="MS PGothic" w:cs="MS PGothic" w:eastAsia="MS PGothic" w:hAnsi="MS PGothic"/>
          <w:sz w:val="18"/>
          <w:szCs w:val="18"/>
          <w:u w:val="single" w:color="auto"/>
          <w:color w:val="0000EE"/>
        </w:rPr>
        <w:t>‑</w:t>
      </w:r>
      <w:r>
        <w:rPr>
          <w:rFonts w:ascii="Times New Roman" w:cs="Times New Roman" w:eastAsia="Times New Roman" w:hAnsi="Times New Roman"/>
          <w:sz w:val="18"/>
          <w:szCs w:val="18"/>
          <w:u w:val="single" w:color="auto"/>
          <w:color w:val="0000EE"/>
        </w:rPr>
        <w:t>Oxley Act of 2002***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Instance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Taxonomy Extension Schema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Taxonomy Extension Calculation Linkbase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Inline Taxonomy Extension Definition Linkbase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Taxonomy Extension Label Linkbase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Taxonomy Extension Presentation Linkbase Document****</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Cover Page Interactive Data File (formatted in Inline XBRL and contained in Exhibit 101)</w:t>
            </w:r>
          </w:p>
        </w:tc>
      </w:tr>
    </w:tbl>
    <w:p>
      <w:pPr>
        <w:spacing w:after="0" w:line="198" w:lineRule="exact"/>
        <w:rPr>
          <w:sz w:val="20"/>
          <w:szCs w:val="20"/>
          <w:color w:val="auto"/>
        </w:rPr>
      </w:pPr>
    </w:p>
    <w:p>
      <w:pPr>
        <w:ind w:right="3520" w:firstLine="8"/>
        <w:spacing w:after="0" w:line="261" w:lineRule="auto"/>
        <w:tabs>
          <w:tab w:leader="none" w:pos="48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compensatory plan or arrangement required to be filed by Item 601 of Regulation S-K.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Submitted electronically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not to provide summary information.</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BIMINI CAPITAL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13, 2026</w:t>
            </w:r>
          </w:p>
        </w:tc>
        <w:tc>
          <w:tcPr>
            <w:tcW w:w="2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E. Cauley</w:t>
            </w:r>
          </w:p>
        </w:tc>
      </w:tr>
      <w:tr>
        <w:trPr>
          <w:trHeight w:val="191"/>
        </w:trPr>
        <w:tc>
          <w:tcPr>
            <w:tcW w:w="6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E. Cauley</w:t>
            </w:r>
          </w:p>
        </w:tc>
      </w:tr>
      <w:tr>
        <w:trPr>
          <w:trHeight w:val="234"/>
        </w:trPr>
        <w:tc>
          <w:tcPr>
            <w:tcW w:w="6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64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13, 2026</w:t>
            </w:r>
          </w:p>
        </w:tc>
        <w:tc>
          <w:tcPr>
            <w:tcW w:w="2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Hunter Haas, IV</w:t>
            </w:r>
          </w:p>
        </w:tc>
      </w:tr>
      <w:tr>
        <w:trPr>
          <w:trHeight w:val="191"/>
        </w:trPr>
        <w:tc>
          <w:tcPr>
            <w:tcW w:w="6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 Hunter Haas, IV</w:t>
            </w:r>
          </w:p>
        </w:tc>
      </w:tr>
      <w:tr>
        <w:trPr>
          <w:trHeight w:val="216"/>
        </w:trPr>
        <w:tc>
          <w:tcPr>
            <w:tcW w:w="6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Financial Officer,</w:t>
            </w:r>
          </w:p>
        </w:tc>
      </w:tr>
      <w:tr>
        <w:trPr>
          <w:trHeight w:val="216"/>
        </w:trPr>
        <w:tc>
          <w:tcPr>
            <w:tcW w:w="6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Investment Officer and Treasurer</w:t>
            </w:r>
          </w:p>
        </w:tc>
      </w:tr>
      <w:tr>
        <w:trPr>
          <w:trHeight w:val="216"/>
        </w:trPr>
        <w:tc>
          <w:tcPr>
            <w:tcW w:w="6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6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19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indicated on March 13,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400" w:type="dxa"/>
            <w:vAlign w:val="bottom"/>
          </w:tcPr>
          <w:p>
            <w:pPr>
              <w:spacing w:after="0"/>
              <w:rPr>
                <w:sz w:val="20"/>
                <w:szCs w:val="20"/>
                <w:color w:val="auto"/>
              </w:rPr>
            </w:pPr>
          </w:p>
        </w:tc>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Capacity</w:t>
            </w:r>
          </w:p>
        </w:tc>
        <w:tc>
          <w:tcPr>
            <w:tcW w:w="0" w:type="dxa"/>
            <w:vAlign w:val="bottom"/>
          </w:tcPr>
          <w:p>
            <w:pPr>
              <w:spacing w:after="0"/>
              <w:rPr>
                <w:sz w:val="1"/>
                <w:szCs w:val="1"/>
                <w:color w:val="auto"/>
              </w:rPr>
            </w:pPr>
          </w:p>
        </w:tc>
      </w:tr>
      <w:tr>
        <w:trPr>
          <w:trHeight w:val="425"/>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E. Cauley</w:t>
            </w:r>
          </w:p>
        </w:tc>
        <w:tc>
          <w:tcPr>
            <w:tcW w:w="400" w:type="dxa"/>
            <w:vAlign w:val="bottom"/>
          </w:tcPr>
          <w:p>
            <w:pPr>
              <w:spacing w:after="0"/>
              <w:rPr>
                <w:sz w:val="24"/>
                <w:szCs w:val="24"/>
                <w:color w:val="auto"/>
              </w:rPr>
            </w:pPr>
          </w:p>
        </w:tc>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 Chairman of the Board and</w:t>
            </w:r>
          </w:p>
        </w:tc>
        <w:tc>
          <w:tcPr>
            <w:tcW w:w="0" w:type="dxa"/>
            <w:vAlign w:val="bottom"/>
          </w:tcPr>
          <w:p>
            <w:pPr>
              <w:spacing w:after="0"/>
              <w:rPr>
                <w:sz w:val="1"/>
                <w:szCs w:val="1"/>
                <w:color w:val="auto"/>
              </w:rPr>
            </w:pPr>
          </w:p>
        </w:tc>
      </w:tr>
      <w:tr>
        <w:trPr>
          <w:trHeight w:val="191"/>
        </w:trPr>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E. Cauley</w:t>
            </w:r>
          </w:p>
        </w:tc>
        <w:tc>
          <w:tcPr>
            <w:tcW w:w="400" w:type="dxa"/>
            <w:vAlign w:val="bottom"/>
          </w:tcPr>
          <w:p>
            <w:pPr>
              <w:spacing w:after="0"/>
              <w:rPr>
                <w:sz w:val="16"/>
                <w:szCs w:val="16"/>
                <w:color w:val="auto"/>
              </w:rPr>
            </w:pPr>
          </w:p>
        </w:tc>
        <w:tc>
          <w:tcPr>
            <w:tcW w:w="7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432"/>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Hunter Haas, IV</w:t>
            </w:r>
          </w:p>
        </w:tc>
        <w:tc>
          <w:tcPr>
            <w:tcW w:w="400" w:type="dxa"/>
            <w:vAlign w:val="bottom"/>
          </w:tcPr>
          <w:p>
            <w:pPr>
              <w:spacing w:after="0"/>
              <w:rPr>
                <w:sz w:val="24"/>
                <w:szCs w:val="24"/>
                <w:color w:val="auto"/>
              </w:rPr>
            </w:pPr>
          </w:p>
        </w:tc>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 President, Chief Financial Officer, Chief Investment Officer and Treasurer (Principal</w:t>
            </w:r>
          </w:p>
        </w:tc>
        <w:tc>
          <w:tcPr>
            <w:tcW w:w="0" w:type="dxa"/>
            <w:vAlign w:val="bottom"/>
          </w:tcPr>
          <w:p>
            <w:pPr>
              <w:spacing w:after="0"/>
              <w:rPr>
                <w:sz w:val="1"/>
                <w:szCs w:val="1"/>
                <w:color w:val="auto"/>
              </w:rPr>
            </w:pPr>
          </w:p>
        </w:tc>
      </w:tr>
      <w:tr>
        <w:trPr>
          <w:trHeight w:val="191"/>
        </w:trPr>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 Hunter Haas, IV</w:t>
            </w:r>
          </w:p>
        </w:tc>
        <w:tc>
          <w:tcPr>
            <w:tcW w:w="400" w:type="dxa"/>
            <w:vAlign w:val="bottom"/>
          </w:tcPr>
          <w:p>
            <w:pPr>
              <w:spacing w:after="0"/>
              <w:rPr>
                <w:sz w:val="16"/>
                <w:szCs w:val="16"/>
                <w:color w:val="auto"/>
              </w:rPr>
            </w:pPr>
          </w:p>
        </w:tc>
        <w:tc>
          <w:tcPr>
            <w:tcW w:w="7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0" w:type="dxa"/>
            <w:vAlign w:val="bottom"/>
          </w:tcPr>
          <w:p>
            <w:pPr>
              <w:spacing w:after="0"/>
              <w:rPr>
                <w:sz w:val="1"/>
                <w:szCs w:val="1"/>
                <w:color w:val="auto"/>
              </w:rPr>
            </w:pPr>
          </w:p>
        </w:tc>
      </w:tr>
      <w:tr>
        <w:trPr>
          <w:trHeight w:val="432"/>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Dwyer</w:t>
            </w:r>
          </w:p>
        </w:tc>
        <w:tc>
          <w:tcPr>
            <w:tcW w:w="400" w:type="dxa"/>
            <w:vAlign w:val="bottom"/>
          </w:tcPr>
          <w:p>
            <w:pPr>
              <w:spacing w:after="0"/>
              <w:rPr>
                <w:sz w:val="24"/>
                <w:szCs w:val="24"/>
                <w:color w:val="auto"/>
              </w:rPr>
            </w:pPr>
          </w:p>
        </w:tc>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Robert J. Dwyer</w:t>
            </w:r>
          </w:p>
        </w:tc>
        <w:tc>
          <w:tcPr>
            <w:tcW w:w="400" w:type="dxa"/>
            <w:vAlign w:val="bottom"/>
          </w:tcPr>
          <w:p>
            <w:pPr>
              <w:spacing w:after="0"/>
              <w:rPr>
                <w:sz w:val="19"/>
                <w:szCs w:val="19"/>
                <w:color w:val="auto"/>
              </w:rPr>
            </w:pPr>
          </w:p>
        </w:tc>
        <w:tc>
          <w:tcPr>
            <w:tcW w:w="7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Ashley Griffith</w:t>
            </w:r>
          </w:p>
        </w:tc>
        <w:tc>
          <w:tcPr>
            <w:tcW w:w="400" w:type="dxa"/>
            <w:vAlign w:val="bottom"/>
          </w:tcPr>
          <w:p>
            <w:pPr>
              <w:spacing w:after="0"/>
              <w:rPr>
                <w:sz w:val="24"/>
                <w:szCs w:val="24"/>
                <w:color w:val="auto"/>
              </w:rPr>
            </w:pPr>
          </w:p>
        </w:tc>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Ashley Griffith</w:t>
            </w:r>
          </w:p>
        </w:tc>
        <w:tc>
          <w:tcPr>
            <w:tcW w:w="400" w:type="dxa"/>
            <w:vAlign w:val="bottom"/>
          </w:tcPr>
          <w:p>
            <w:pPr>
              <w:spacing w:after="0"/>
              <w:rPr>
                <w:sz w:val="19"/>
                <w:szCs w:val="19"/>
                <w:color w:val="auto"/>
              </w:rPr>
            </w:pPr>
          </w:p>
        </w:tc>
        <w:tc>
          <w:tcPr>
            <w:tcW w:w="7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800" w:type="dxa"/>
            <w:vAlign w:val="bottom"/>
          </w:tcPr>
          <w:p>
            <w:pPr>
              <w:spacing w:after="0"/>
              <w:rPr>
                <w:sz w:val="24"/>
                <w:szCs w:val="24"/>
                <w:color w:val="auto"/>
              </w:rPr>
            </w:pPr>
          </w:p>
        </w:tc>
        <w:tc>
          <w:tcPr>
            <w:tcW w:w="744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5940" w:type="dxa"/>
            <w:vAlign w:val="bottom"/>
            <w:vMerge w:val="restart"/>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Bimini Capital Management, Inc.</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tc>
        <w:tc>
          <w:tcPr>
            <w:tcW w:w="0" w:type="dxa"/>
            <w:vAlign w:val="bottom"/>
          </w:tcPr>
          <w:p>
            <w:pPr>
              <w:spacing w:after="0"/>
              <w:rPr>
                <w:sz w:val="1"/>
                <w:szCs w:val="1"/>
                <w:color w:val="auto"/>
              </w:rPr>
            </w:pPr>
          </w:p>
        </w:tc>
      </w:tr>
      <w:tr>
        <w:trPr>
          <w:trHeight w:val="194"/>
        </w:trPr>
        <w:tc>
          <w:tcPr>
            <w:tcW w:w="3540" w:type="dxa"/>
            <w:vAlign w:val="bottom"/>
          </w:tcPr>
          <w:p>
            <w:pPr>
              <w:spacing w:after="0"/>
              <w:rPr>
                <w:sz w:val="16"/>
                <w:szCs w:val="16"/>
                <w:color w:val="auto"/>
              </w:rPr>
            </w:pPr>
          </w:p>
        </w:tc>
        <w:tc>
          <w:tcPr>
            <w:tcW w:w="59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9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Consolidated Subsidiaries of the Registrant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594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subsidiaries included in the 2025 consolidated financial statements of Bimini Capital Management, Inc. are:</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540" w:type="dxa"/>
            <w:vAlign w:val="bottom"/>
          </w:tcPr>
          <w:p>
            <w:pPr>
              <w:spacing w:after="0"/>
              <w:rPr>
                <w:sz w:val="24"/>
                <w:szCs w:val="24"/>
                <w:color w:val="auto"/>
              </w:rPr>
            </w:pPr>
          </w:p>
        </w:tc>
        <w:tc>
          <w:tcPr>
            <w:tcW w:w="594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 of</w:t>
            </w: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5940" w:type="dxa"/>
            <w:vAlign w:val="bottom"/>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Voting Power</w:t>
            </w:r>
          </w:p>
        </w:tc>
        <w:tc>
          <w:tcPr>
            <w:tcW w:w="0" w:type="dxa"/>
            <w:vAlign w:val="bottom"/>
          </w:tcPr>
          <w:p>
            <w:pPr>
              <w:spacing w:after="0"/>
              <w:rPr>
                <w:sz w:val="1"/>
                <w:szCs w:val="1"/>
                <w:color w:val="auto"/>
              </w:rPr>
            </w:pP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Royal Palm Capital, LLC</w:t>
            </w:r>
          </w:p>
        </w:tc>
        <w:tc>
          <w:tcPr>
            <w:tcW w:w="5940" w:type="dxa"/>
            <w:vAlign w:val="bottom"/>
          </w:tcPr>
          <w:p>
            <w:pPr>
              <w:jc w:val="center"/>
              <w:ind w:left="3210"/>
              <w:spacing w:after="0"/>
              <w:rPr>
                <w:sz w:val="20"/>
                <w:szCs w:val="20"/>
                <w:color w:val="auto"/>
              </w:rPr>
            </w:pPr>
            <w:r>
              <w:rPr>
                <w:rFonts w:ascii="Times New Roman" w:cs="Times New Roman" w:eastAsia="Times New Roman" w:hAnsi="Times New Roman"/>
                <w:sz w:val="18"/>
                <w:szCs w:val="18"/>
                <w:color w:val="auto"/>
                <w:w w:val="98"/>
              </w:rPr>
              <w:t>Delaware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Bimini Advisors Holdings, LLC</w:t>
            </w:r>
          </w:p>
        </w:tc>
        <w:tc>
          <w:tcPr>
            <w:tcW w:w="5940" w:type="dxa"/>
            <w:vAlign w:val="bottom"/>
          </w:tcPr>
          <w:p>
            <w:pPr>
              <w:jc w:val="center"/>
              <w:ind w:left="3230"/>
              <w:spacing w:after="0"/>
              <w:rPr>
                <w:sz w:val="20"/>
                <w:szCs w:val="20"/>
                <w:color w:val="auto"/>
              </w:rPr>
            </w:pPr>
            <w:r>
              <w:rPr>
                <w:rFonts w:ascii="Times New Roman" w:cs="Times New Roman" w:eastAsia="Times New Roman" w:hAnsi="Times New Roman"/>
                <w:sz w:val="18"/>
                <w:szCs w:val="18"/>
                <w:color w:val="auto"/>
                <w:w w:val="99"/>
              </w:rPr>
              <w:t>Maryland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Bimini Advisors, LLC</w:t>
            </w:r>
          </w:p>
        </w:tc>
        <w:tc>
          <w:tcPr>
            <w:tcW w:w="5940" w:type="dxa"/>
            <w:vAlign w:val="bottom"/>
          </w:tcPr>
          <w:p>
            <w:pPr>
              <w:jc w:val="center"/>
              <w:ind w:left="3230"/>
              <w:spacing w:after="0"/>
              <w:rPr>
                <w:sz w:val="20"/>
                <w:szCs w:val="20"/>
                <w:color w:val="auto"/>
              </w:rPr>
            </w:pPr>
            <w:r>
              <w:rPr>
                <w:rFonts w:ascii="Times New Roman" w:cs="Times New Roman" w:eastAsia="Times New Roman" w:hAnsi="Times New Roman"/>
                <w:sz w:val="18"/>
                <w:szCs w:val="18"/>
                <w:color w:val="auto"/>
                <w:w w:val="99"/>
              </w:rPr>
              <w:t>Maryland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Bimini Leverage Partners, LLC</w:t>
            </w:r>
          </w:p>
        </w:tc>
        <w:tc>
          <w:tcPr>
            <w:tcW w:w="5940" w:type="dxa"/>
            <w:vAlign w:val="bottom"/>
          </w:tcPr>
          <w:p>
            <w:pPr>
              <w:jc w:val="center"/>
              <w:ind w:left="3230"/>
              <w:spacing w:after="0"/>
              <w:rPr>
                <w:sz w:val="20"/>
                <w:szCs w:val="20"/>
                <w:color w:val="auto"/>
              </w:rPr>
            </w:pPr>
            <w:r>
              <w:rPr>
                <w:rFonts w:ascii="Times New Roman" w:cs="Times New Roman" w:eastAsia="Times New Roman" w:hAnsi="Times New Roman"/>
                <w:sz w:val="18"/>
                <w:szCs w:val="18"/>
                <w:color w:val="auto"/>
                <w:w w:val="99"/>
              </w:rPr>
              <w:t>Maryland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HomeStar SPV Holdings, Inc.</w:t>
            </w:r>
          </w:p>
        </w:tc>
        <w:tc>
          <w:tcPr>
            <w:tcW w:w="5940" w:type="dxa"/>
            <w:vAlign w:val="bottom"/>
          </w:tcPr>
          <w:p>
            <w:pPr>
              <w:jc w:val="center"/>
              <w:ind w:left="3210"/>
              <w:spacing w:after="0"/>
              <w:rPr>
                <w:sz w:val="20"/>
                <w:szCs w:val="20"/>
                <w:color w:val="auto"/>
              </w:rPr>
            </w:pPr>
            <w:r>
              <w:rPr>
                <w:rFonts w:ascii="Times New Roman" w:cs="Times New Roman" w:eastAsia="Times New Roman" w:hAnsi="Times New Roman"/>
                <w:sz w:val="18"/>
                <w:szCs w:val="18"/>
                <w:color w:val="auto"/>
                <w:w w:val="98"/>
              </w:rPr>
              <w:t>Delaware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HS Special Purpose, LLC</w:t>
            </w:r>
          </w:p>
        </w:tc>
        <w:tc>
          <w:tcPr>
            <w:tcW w:w="5940" w:type="dxa"/>
            <w:vAlign w:val="bottom"/>
          </w:tcPr>
          <w:p>
            <w:pPr>
              <w:jc w:val="center"/>
              <w:ind w:left="3210"/>
              <w:spacing w:after="0"/>
              <w:rPr>
                <w:sz w:val="20"/>
                <w:szCs w:val="20"/>
                <w:color w:val="auto"/>
              </w:rPr>
            </w:pPr>
            <w:r>
              <w:rPr>
                <w:rFonts w:ascii="Times New Roman" w:cs="Times New Roman" w:eastAsia="Times New Roman" w:hAnsi="Times New Roman"/>
                <w:sz w:val="18"/>
                <w:szCs w:val="18"/>
                <w:color w:val="auto"/>
                <w:w w:val="98"/>
              </w:rPr>
              <w:t>Delaware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Opteum Financial Services Corporation</w:t>
            </w:r>
          </w:p>
        </w:tc>
        <w:tc>
          <w:tcPr>
            <w:tcW w:w="5940" w:type="dxa"/>
            <w:vAlign w:val="bottom"/>
          </w:tcPr>
          <w:p>
            <w:pPr>
              <w:jc w:val="center"/>
              <w:ind w:left="3210"/>
              <w:spacing w:after="0"/>
              <w:rPr>
                <w:sz w:val="20"/>
                <w:szCs w:val="20"/>
                <w:color w:val="auto"/>
              </w:rPr>
            </w:pPr>
            <w:r>
              <w:rPr>
                <w:rFonts w:ascii="Times New Roman" w:cs="Times New Roman" w:eastAsia="Times New Roman" w:hAnsi="Times New Roman"/>
                <w:sz w:val="18"/>
                <w:szCs w:val="18"/>
                <w:color w:val="auto"/>
                <w:w w:val="99"/>
              </w:rPr>
              <w:t>Pennsylvania</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Opteum Mortgage Acceptance Corporation</w:t>
            </w:r>
          </w:p>
        </w:tc>
        <w:tc>
          <w:tcPr>
            <w:tcW w:w="5940" w:type="dxa"/>
            <w:vAlign w:val="bottom"/>
          </w:tcPr>
          <w:p>
            <w:pPr>
              <w:jc w:val="center"/>
              <w:ind w:left="3210"/>
              <w:spacing w:after="0"/>
              <w:rPr>
                <w:sz w:val="20"/>
                <w:szCs w:val="20"/>
                <w:color w:val="auto"/>
              </w:rPr>
            </w:pPr>
            <w:r>
              <w:rPr>
                <w:rFonts w:ascii="Times New Roman" w:cs="Times New Roman" w:eastAsia="Times New Roman" w:hAnsi="Times New Roman"/>
                <w:sz w:val="18"/>
                <w:szCs w:val="18"/>
                <w:color w:val="auto"/>
                <w:w w:val="98"/>
              </w:rPr>
              <w:t>Delaware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Opteum SPV 2, LLC</w:t>
            </w:r>
          </w:p>
        </w:tc>
        <w:tc>
          <w:tcPr>
            <w:tcW w:w="5940" w:type="dxa"/>
            <w:vAlign w:val="bottom"/>
          </w:tcPr>
          <w:p>
            <w:pPr>
              <w:jc w:val="center"/>
              <w:ind w:left="3210"/>
              <w:spacing w:after="0"/>
              <w:rPr>
                <w:sz w:val="20"/>
                <w:szCs w:val="20"/>
                <w:color w:val="auto"/>
              </w:rPr>
            </w:pPr>
            <w:r>
              <w:rPr>
                <w:rFonts w:ascii="Times New Roman" w:cs="Times New Roman" w:eastAsia="Times New Roman" w:hAnsi="Times New Roman"/>
                <w:sz w:val="18"/>
                <w:szCs w:val="18"/>
                <w:color w:val="auto"/>
                <w:w w:val="98"/>
              </w:rPr>
              <w:t>Delaware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Cauley, certify that:</w:t>
      </w:r>
    </w:p>
    <w:p>
      <w:pPr>
        <w:spacing w:after="0" w:line="225" w:lineRule="exact"/>
        <w:rPr>
          <w:sz w:val="20"/>
          <w:szCs w:val="20"/>
          <w:color w:val="auto"/>
        </w:rPr>
      </w:pPr>
    </w:p>
    <w:p>
      <w:pPr>
        <w:ind w:left="500" w:hanging="330"/>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Bimini Capital Management, Inc. (the "registrant");</w:t>
      </w:r>
    </w:p>
    <w:p>
      <w:pPr>
        <w:spacing w:after="0" w:line="252" w:lineRule="exact"/>
        <w:rPr>
          <w:rFonts w:ascii="Times New Roman" w:cs="Times New Roman" w:eastAsia="Times New Roman" w:hAnsi="Times New Roman"/>
          <w:sz w:val="18"/>
          <w:szCs w:val="18"/>
          <w:color w:val="auto"/>
        </w:rPr>
      </w:pPr>
    </w:p>
    <w:p>
      <w:pPr>
        <w:jc w:val="both"/>
        <w:ind w:left="500" w:right="280" w:hanging="330"/>
        <w:spacing w:after="0" w:line="266"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330"/>
        <w:spacing w:after="0" w:line="282"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330"/>
        <w:spacing w:after="0" w:line="266"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20" w:right="260" w:hanging="326"/>
        <w:spacing w:after="0" w:line="266" w:lineRule="auto"/>
        <w:tabs>
          <w:tab w:leader="none" w:pos="8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20" w:right="520" w:hanging="326"/>
        <w:spacing w:after="0" w:line="266" w:lineRule="auto"/>
        <w:tabs>
          <w:tab w:leader="none" w:pos="8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20" w:right="700" w:hanging="326"/>
        <w:spacing w:after="0" w:line="312" w:lineRule="auto"/>
        <w:tabs>
          <w:tab w:leader="none" w:pos="82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20" w:right="240" w:hanging="326"/>
        <w:spacing w:after="0" w:line="266" w:lineRule="auto"/>
        <w:tabs>
          <w:tab w:leader="none" w:pos="8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80" w:hanging="330"/>
        <w:spacing w:after="0" w:line="282"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61" w:lineRule="exact"/>
        <w:rPr>
          <w:rFonts w:ascii="Times New Roman" w:cs="Times New Roman" w:eastAsia="Times New Roman" w:hAnsi="Times New Roman"/>
          <w:sz w:val="18"/>
          <w:szCs w:val="18"/>
          <w:color w:val="auto"/>
        </w:rPr>
      </w:pPr>
    </w:p>
    <w:p>
      <w:pPr>
        <w:ind w:left="820" w:right="320" w:hanging="326"/>
        <w:spacing w:after="0" w:line="282" w:lineRule="auto"/>
        <w:tabs>
          <w:tab w:leader="none" w:pos="8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E. 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E. Cauley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240"/>
          </w:cols>
          <w:pgMar w:left="320" w:top="11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Hunter Haas, IV, certify that:</w:t>
      </w:r>
    </w:p>
    <w:p>
      <w:pPr>
        <w:spacing w:after="0" w:line="225" w:lineRule="exact"/>
        <w:rPr>
          <w:sz w:val="20"/>
          <w:szCs w:val="20"/>
          <w:color w:val="auto"/>
        </w:rPr>
      </w:pPr>
    </w:p>
    <w:p>
      <w:pPr>
        <w:ind w:left="500" w:hanging="330"/>
        <w:spacing w:after="0"/>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Bimini Capital Management, Inc. (the "registrant");</w:t>
      </w:r>
    </w:p>
    <w:p>
      <w:pPr>
        <w:spacing w:after="0" w:line="252" w:lineRule="exact"/>
        <w:rPr>
          <w:rFonts w:ascii="Times New Roman" w:cs="Times New Roman" w:eastAsia="Times New Roman" w:hAnsi="Times New Roman"/>
          <w:sz w:val="18"/>
          <w:szCs w:val="18"/>
          <w:color w:val="auto"/>
        </w:rPr>
      </w:pPr>
    </w:p>
    <w:p>
      <w:pPr>
        <w:jc w:val="both"/>
        <w:ind w:left="500" w:right="280" w:hanging="330"/>
        <w:spacing w:after="0" w:line="26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330"/>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330"/>
        <w:spacing w:after="0" w:line="26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20" w:right="260" w:hanging="326"/>
        <w:spacing w:after="0" w:line="266" w:lineRule="auto"/>
        <w:tabs>
          <w:tab w:leader="none" w:pos="8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20" w:right="520" w:hanging="326"/>
        <w:spacing w:after="0" w:line="266" w:lineRule="auto"/>
        <w:tabs>
          <w:tab w:leader="none" w:pos="8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20" w:right="700" w:hanging="326"/>
        <w:spacing w:after="0" w:line="312" w:lineRule="auto"/>
        <w:tabs>
          <w:tab w:leader="none" w:pos="82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20" w:right="240" w:hanging="326"/>
        <w:spacing w:after="0" w:line="266" w:lineRule="auto"/>
        <w:tabs>
          <w:tab w:leader="none" w:pos="8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80" w:hanging="330"/>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61" w:lineRule="exact"/>
        <w:rPr>
          <w:rFonts w:ascii="Times New Roman" w:cs="Times New Roman" w:eastAsia="Times New Roman" w:hAnsi="Times New Roman"/>
          <w:sz w:val="18"/>
          <w:szCs w:val="18"/>
          <w:color w:val="auto"/>
        </w:rPr>
      </w:pPr>
    </w:p>
    <w:p>
      <w:pPr>
        <w:ind w:left="820" w:right="320" w:hanging="326"/>
        <w:spacing w:after="0" w:line="282" w:lineRule="auto"/>
        <w:tabs>
          <w:tab w:leader="none" w:pos="8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 Hunter Haas,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Hunter Haas, IV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ectPr>
          <w:pgSz w:w="11900" w:h="16838" w:orient="portrait"/>
          <w:cols w:equalWidth="0" w:num="1">
            <w:col w:w="11240"/>
          </w:cols>
          <w:pgMar w:left="320" w:top="11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 10 U.S.C. SECTION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Cauley, in compliance 18 U.S.C. Section 1350, as adopted pursuant to Section 906 of the Sarbanes-Oxley Act of 2002, hereby certify that,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Annual Report on Form 10-K for the period ended December 31, 2025 (the “Report”) filed with the Securities and Exchange Commission:</w:t>
      </w:r>
    </w:p>
    <w:p>
      <w:pPr>
        <w:spacing w:after="0" w:line="207"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520" w:firstLine="8"/>
        <w:spacing w:after="0" w:line="532" w:lineRule="auto"/>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It is not intended that this statement be deemed to be filed for purposes of the Securities Exchange Act of 1934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March 13, 2026</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E. Cauley</w:t>
            </w:r>
          </w:p>
        </w:tc>
      </w:tr>
      <w:tr>
        <w:trPr>
          <w:trHeight w:val="191"/>
        </w:trPr>
        <w:tc>
          <w:tcPr>
            <w:tcW w:w="580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E. Cauley,</w:t>
            </w:r>
          </w:p>
        </w:tc>
      </w:tr>
      <w:tr>
        <w:trPr>
          <w:trHeight w:val="216"/>
        </w:trPr>
        <w:tc>
          <w:tcPr>
            <w:tcW w:w="58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w:t>
            </w:r>
          </w:p>
        </w:tc>
      </w:tr>
      <w:tr>
        <w:trPr>
          <w:trHeight w:val="234"/>
        </w:trPr>
        <w:tc>
          <w:tcPr>
            <w:tcW w:w="58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 10 U.S.C. SECTION 1350</w:t>
      </w:r>
    </w:p>
    <w:p>
      <w:pPr>
        <w:spacing w:after="0" w:line="207"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I, G. Hunter Haas, IV, in compliance 18 U.S.C. Section 1350, as adopted pursuant to Section 906 of the Sarbanes-Oxley Act of 2002, hereby certify that, the Company’s Annual Report on Form 10-K for the period ended December 31, 2025 (the “Report”) filed with the Securities and Exchange Commission:</w:t>
      </w:r>
    </w:p>
    <w:p>
      <w:pPr>
        <w:spacing w:after="0" w:line="140" w:lineRule="exact"/>
        <w:rPr>
          <w:sz w:val="20"/>
          <w:szCs w:val="20"/>
          <w:color w:val="auto"/>
        </w:rPr>
      </w:pPr>
    </w:p>
    <w:p>
      <w:pPr>
        <w:ind w:left="180" w:hanging="172"/>
        <w:spacing w:after="0"/>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680" w:firstLine="8"/>
        <w:spacing w:after="0" w:line="53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It is not intended that this statement be deemed to be filed for purposes of the Securities Exchange Act of 1934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March 13, 2026</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Hunter Haas, IV</w:t>
            </w:r>
          </w:p>
        </w:tc>
      </w:tr>
      <w:tr>
        <w:trPr>
          <w:trHeight w:val="191"/>
        </w:trPr>
        <w:tc>
          <w:tcPr>
            <w:tcW w:w="580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 Hunter Haas, IV</w:t>
            </w:r>
          </w:p>
        </w:tc>
      </w:tr>
      <w:tr>
        <w:trPr>
          <w:trHeight w:val="234"/>
        </w:trPr>
        <w:tc>
          <w:tcPr>
            <w:tcW w:w="58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lvl w:ilvl="1">
      <w:lvlJc w:val="left"/>
      <w:lvlText w:val="☒"/>
      <w:numFmt w:val="bullet"/>
      <w:start w:val="1"/>
    </w:lvl>
  </w:abstractNum>
  <w:abstractNum w:abstractNumId="1">
    <w:nsid w:val="628C895D"/>
    <w:multiLevelType w:val="hybridMultilevel"/>
    <w:lvl w:ilvl="0">
      <w:lvlJc w:val="left"/>
      <w:lvlText w:val="(%1)"/>
      <w:numFmt w:val="lowerLetter"/>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lvl w:ilvl="1">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lvl w:ilvl="1">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lvl w:ilvl="1">
      <w:lvlJc w:val="left"/>
      <w:lvlText w:val="●"/>
      <w:numFmt w:val="bullet"/>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9"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91" Type="http://schemas.openxmlformats.org/officeDocument/2006/relationships/hyperlink" Target="http://www.sec.gov/Archives/edgar/data/1275477/000104746904014207/a2134714zex-3_1.htm" TargetMode="External"/><Relationship Id="rId92" Type="http://schemas.openxmlformats.org/officeDocument/2006/relationships/hyperlink" Target="http://www.sec.gov/Archives/edgar/data/1275477/000110465905053612/a05-19639_1ex3d1.htm" TargetMode="External"/><Relationship Id="rId93" Type="http://schemas.openxmlformats.org/officeDocument/2006/relationships/hyperlink" Target="http://www.sec.gov/Archives/edgar/data/1275477/000110465906009839/a06-5199_1ex3d1.htm" TargetMode="External"/><Relationship Id="rId94" Type="http://schemas.openxmlformats.org/officeDocument/2006/relationships/hyperlink" Target="http://www.sec.gov/Archives/edgar/data/1275477/000127547707000021/opx8k09242007ex3-1.htm" TargetMode="External"/><Relationship Id="rId95" Type="http://schemas.openxmlformats.org/officeDocument/2006/relationships/hyperlink" Target="http://www.sec.gov/Archives/edgar/data/1275477/000127547708000004/bmnm8k02012008ex3-1.htm" TargetMode="External"/><Relationship Id="rId96" Type="http://schemas.openxmlformats.org/officeDocument/2006/relationships/hyperlink" Target="http://www.sec.gov/Archives/edgar/data/1275477/000119312515409195/d107655dex31.htm" TargetMode="External"/><Relationship Id="rId97" Type="http://schemas.openxmlformats.org/officeDocument/2006/relationships/hyperlink" Target="http://www.sec.gov/Archives/edgar/data/1275477/000119312515409195/d107655dex32.htm" TargetMode="External"/><Relationship Id="rId98" Type="http://schemas.openxmlformats.org/officeDocument/2006/relationships/hyperlink" Target="http://www.sec.gov/Archives/edgar/data/1275477/000127547707000021/opx8k09242007ex3-2.htm" TargetMode="External"/><Relationship Id="rId100" Type="http://schemas.openxmlformats.org/officeDocument/2006/relationships/hyperlink" Target="http://www.sec.gov/Archives/edgar/data/1275477/000119312515409195/d107655dex41.htm" TargetMode="External"/><Relationship Id="rId101" Type="http://schemas.openxmlformats.org/officeDocument/2006/relationships/hyperlink" Target="http://www.sec.gov/Archives/edgar/data/1275477/000143774925037399/ex_897081.htm" TargetMode="External"/><Relationship Id="rId102" Type="http://schemas.openxmlformats.org/officeDocument/2006/relationships/hyperlink" Target="http://www.sec.gov/Archives/edgar/data/1275477/000127547720000048/bmnm10kx42.htm" TargetMode="External"/><Relationship Id="rId103" Type="http://schemas.openxmlformats.org/officeDocument/2006/relationships/hyperlink" Target="http://www.sec.gov/Archives/edgar/data/1275477/000127547713000006/bmnm8k20130220x991.htm" TargetMode="External"/><Relationship Id="rId104" Type="http://schemas.openxmlformats.org/officeDocument/2006/relationships/hyperlink" Target="http://www.sec.gov/Archives/edgar/data/1275477/000127547714000028/bmnm8k20140403x101.htm" TargetMode="External"/><Relationship Id="rId105" Type="http://schemas.openxmlformats.org/officeDocument/2006/relationships/hyperlink" Target="http://www.sec.gov/Archives/edgar/data/1275477/000127547714000064/bmnm8k20140630x101.htm" TargetMode="External"/><Relationship Id="rId106" Type="http://schemas.openxmlformats.org/officeDocument/2006/relationships/hyperlink" Target="http://www.sec.gov/Archives/edgar/data/1275477/000127547721000015/bmnm8k20211117x101.htm" TargetMode="External"/><Relationship Id="rId107" Type="http://schemas.openxmlformats.org/officeDocument/2006/relationships/hyperlink" Target="http://www.sec.gov/Archives/edgar/data/1275477/000127547713000006/bmnm8x20130220x992.htm" TargetMode="External"/><Relationship Id="rId108" Type="http://schemas.openxmlformats.org/officeDocument/2006/relationships/hyperlink" Target="http://www.sec.gov/Archives/edgar/data/1275477/000127547709000024/bmnm8k06302009ex991.htm" TargetMode="External"/><Relationship Id="rId109" Type="http://schemas.openxmlformats.org/officeDocument/2006/relationships/hyperlink" Target="http://www.sec.gov/Archives/edgar/data/1275477/000127547709000024/bmnm8k06302009ex992.htm" TargetMode="External"/><Relationship Id="rId110" Type="http://schemas.openxmlformats.org/officeDocument/2006/relationships/hyperlink" Target="http://www.sec.gov/Archives/edgar/data/1275477/000143774926001227/ex_907197.htm" TargetMode="External"/><Relationship Id="rId111" Type="http://schemas.openxmlformats.org/officeDocument/2006/relationships/hyperlink" Target="http://www.sec.gov/Archives/edgar/data/1275477/000143774925006605/ex_78518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2026-03-13T12:05:38Z</dcterms:created>
  <dcterms:modified xsi:type="dcterms:W3CDTF">2026-03-13T12:05:38Z</dcterms:modified>
</cp:coreProperties>
</file>